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26" w:rsidRPr="0060386F" w:rsidRDefault="00387026">
      <w:pPr>
        <w:pStyle w:val="Title"/>
        <w:rPr>
          <w:rFonts w:asciiTheme="minorHAnsi" w:hAnsiTheme="minorHAnsi"/>
          <w:sz w:val="22"/>
          <w:szCs w:val="22"/>
          <w:u w:val="single"/>
        </w:rPr>
      </w:pPr>
    </w:p>
    <w:p w:rsidR="0019160B" w:rsidRPr="0060386F" w:rsidRDefault="0019160B">
      <w:pPr>
        <w:pStyle w:val="Title"/>
        <w:outlineLvl w:val="0"/>
        <w:rPr>
          <w:rFonts w:ascii="Arial" w:hAnsi="Arial" w:cs="Arial"/>
          <w:sz w:val="48"/>
          <w:szCs w:val="48"/>
          <w:u w:val="single"/>
        </w:rPr>
      </w:pPr>
    </w:p>
    <w:p w:rsidR="0019160B" w:rsidRPr="0060386F" w:rsidRDefault="0019160B">
      <w:pPr>
        <w:pStyle w:val="Title"/>
        <w:outlineLvl w:val="0"/>
        <w:rPr>
          <w:rFonts w:ascii="Arial" w:hAnsi="Arial" w:cs="Arial"/>
          <w:sz w:val="48"/>
          <w:szCs w:val="48"/>
          <w:u w:val="single"/>
        </w:rPr>
      </w:pPr>
    </w:p>
    <w:p w:rsidR="00387026" w:rsidRPr="0060386F" w:rsidRDefault="00387026">
      <w:pPr>
        <w:pStyle w:val="Title"/>
        <w:outlineLvl w:val="0"/>
        <w:rPr>
          <w:rFonts w:ascii="Arial" w:hAnsi="Arial" w:cs="Arial"/>
          <w:sz w:val="48"/>
          <w:szCs w:val="48"/>
          <w:u w:val="single"/>
        </w:rPr>
      </w:pPr>
      <w:r w:rsidRPr="0060386F">
        <w:rPr>
          <w:rFonts w:ascii="Arial" w:hAnsi="Arial" w:cs="Arial"/>
          <w:sz w:val="48"/>
          <w:szCs w:val="48"/>
          <w:u w:val="single"/>
        </w:rPr>
        <w:t xml:space="preserve">Investment Policy Statement </w:t>
      </w:r>
    </w:p>
    <w:p w:rsidR="00387026" w:rsidRPr="0060386F" w:rsidRDefault="00387026">
      <w:pPr>
        <w:pStyle w:val="Title"/>
        <w:rPr>
          <w:rFonts w:ascii="Arial" w:hAnsi="Arial" w:cs="Arial"/>
          <w:sz w:val="36"/>
          <w:szCs w:val="36"/>
        </w:rPr>
      </w:pPr>
    </w:p>
    <w:p w:rsidR="00387026" w:rsidRPr="0060386F" w:rsidRDefault="00387026">
      <w:pPr>
        <w:pStyle w:val="Title"/>
        <w:rPr>
          <w:rFonts w:ascii="Arial" w:hAnsi="Arial" w:cs="Arial"/>
          <w:sz w:val="36"/>
          <w:szCs w:val="36"/>
        </w:rPr>
      </w:pPr>
    </w:p>
    <w:p w:rsidR="00D64E8A" w:rsidRPr="0060386F" w:rsidRDefault="00D64E8A" w:rsidP="00D64E8A">
      <w:pPr>
        <w:pStyle w:val="Title"/>
        <w:outlineLvl w:val="0"/>
        <w:rPr>
          <w:rFonts w:ascii="Arial" w:hAnsi="Arial" w:cs="Arial"/>
        </w:rPr>
      </w:pPr>
      <w:r w:rsidRPr="0060386F">
        <w:rPr>
          <w:rFonts w:ascii="Arial" w:hAnsi="Arial" w:cs="Arial"/>
        </w:rPr>
        <w:t xml:space="preserve">The </w:t>
      </w:r>
      <w:r w:rsidR="00CA1DC3" w:rsidRPr="0060386F">
        <w:rPr>
          <w:rFonts w:ascii="Arial" w:hAnsi="Arial" w:cs="Arial"/>
        </w:rPr>
        <w:t>ABC Co.</w:t>
      </w:r>
      <w:r w:rsidRPr="0060386F">
        <w:rPr>
          <w:rFonts w:ascii="Arial" w:hAnsi="Arial" w:cs="Arial"/>
        </w:rPr>
        <w:t xml:space="preserve"> 401(k) Retirement Savings Plan </w:t>
      </w:r>
    </w:p>
    <w:p w:rsidR="00387026" w:rsidRPr="0060386F" w:rsidRDefault="00387026">
      <w:pPr>
        <w:pStyle w:val="Title"/>
        <w:rPr>
          <w:rFonts w:ascii="Arial" w:hAnsi="Arial" w:cs="Arial"/>
          <w:sz w:val="36"/>
          <w:szCs w:val="36"/>
        </w:rPr>
      </w:pPr>
      <w:bookmarkStart w:id="0" w:name="_GoBack"/>
      <w:bookmarkEnd w:id="0"/>
    </w:p>
    <w:p w:rsidR="00387026" w:rsidRPr="0060386F" w:rsidRDefault="00387026">
      <w:pPr>
        <w:pStyle w:val="Title"/>
        <w:rPr>
          <w:rFonts w:ascii="Arial" w:hAnsi="Arial" w:cs="Arial"/>
          <w:sz w:val="36"/>
          <w:szCs w:val="36"/>
        </w:rPr>
      </w:pPr>
    </w:p>
    <w:p w:rsidR="00387026" w:rsidRPr="0060386F" w:rsidRDefault="00387026" w:rsidP="00904F50">
      <w:pPr>
        <w:pStyle w:val="Title"/>
        <w:jc w:val="left"/>
        <w:rPr>
          <w:rFonts w:ascii="Arial" w:hAnsi="Arial" w:cs="Arial"/>
          <w:sz w:val="36"/>
          <w:szCs w:val="36"/>
        </w:rPr>
      </w:pPr>
    </w:p>
    <w:p w:rsidR="00387026" w:rsidRPr="0060386F" w:rsidRDefault="00387026">
      <w:pPr>
        <w:pStyle w:val="Title"/>
        <w:rPr>
          <w:rFonts w:ascii="Arial" w:hAnsi="Arial" w:cs="Arial"/>
          <w:sz w:val="36"/>
          <w:szCs w:val="36"/>
        </w:rPr>
      </w:pPr>
    </w:p>
    <w:p w:rsidR="00387026" w:rsidRPr="0060386F" w:rsidRDefault="00387026">
      <w:pPr>
        <w:pStyle w:val="Title"/>
        <w:rPr>
          <w:rFonts w:ascii="Arial" w:hAnsi="Arial" w:cs="Arial"/>
          <w:sz w:val="36"/>
          <w:szCs w:val="36"/>
        </w:rPr>
      </w:pPr>
    </w:p>
    <w:p w:rsidR="00387026" w:rsidRPr="0060386F" w:rsidRDefault="00387026">
      <w:pPr>
        <w:pStyle w:val="Title"/>
        <w:rPr>
          <w:rFonts w:ascii="Arial" w:hAnsi="Arial" w:cs="Arial"/>
          <w:sz w:val="36"/>
          <w:szCs w:val="36"/>
        </w:rPr>
      </w:pPr>
    </w:p>
    <w:p w:rsidR="00387026" w:rsidRPr="0060386F" w:rsidRDefault="00387026">
      <w:pPr>
        <w:pStyle w:val="Title"/>
        <w:rPr>
          <w:rFonts w:ascii="Arial" w:hAnsi="Arial" w:cs="Arial"/>
          <w:sz w:val="22"/>
          <w:szCs w:val="22"/>
        </w:rPr>
      </w:pPr>
    </w:p>
    <w:p w:rsidR="00387026" w:rsidRPr="0060386F" w:rsidRDefault="00387026" w:rsidP="00BB26F1">
      <w:pPr>
        <w:pStyle w:val="Heading1"/>
        <w:jc w:val="both"/>
        <w:rPr>
          <w:rFonts w:ascii="Arial" w:hAnsi="Arial" w:cs="Arial"/>
          <w:sz w:val="20"/>
        </w:rPr>
      </w:pPr>
      <w:r w:rsidRPr="0060386F">
        <w:rPr>
          <w:rFonts w:ascii="Arial" w:hAnsi="Arial" w:cs="Arial"/>
          <w:sz w:val="22"/>
          <w:szCs w:val="22"/>
        </w:rPr>
        <w:br w:type="page"/>
      </w:r>
      <w:r w:rsidRPr="0060386F">
        <w:rPr>
          <w:rFonts w:ascii="Arial" w:hAnsi="Arial" w:cs="Arial"/>
          <w:sz w:val="20"/>
        </w:rPr>
        <w:lastRenderedPageBreak/>
        <w:t>Plan Purpose and Objective</w:t>
      </w:r>
    </w:p>
    <w:p w:rsidR="00387026" w:rsidRPr="0060386F" w:rsidRDefault="00387026" w:rsidP="00BB26F1">
      <w:pPr>
        <w:pStyle w:val="BodyText"/>
        <w:jc w:val="both"/>
        <w:rPr>
          <w:rFonts w:ascii="Arial" w:hAnsi="Arial" w:cs="Arial"/>
          <w:sz w:val="20"/>
        </w:rPr>
      </w:pPr>
    </w:p>
    <w:p w:rsidR="00D64E8A" w:rsidRPr="0060386F" w:rsidRDefault="00CA1DC3" w:rsidP="00BB26F1">
      <w:pPr>
        <w:pStyle w:val="BodyText"/>
        <w:jc w:val="both"/>
        <w:rPr>
          <w:rFonts w:ascii="Arial" w:hAnsi="Arial" w:cs="Arial"/>
          <w:sz w:val="20"/>
        </w:rPr>
      </w:pPr>
      <w:r w:rsidRPr="0060386F">
        <w:rPr>
          <w:rFonts w:ascii="Arial" w:hAnsi="Arial" w:cs="Arial"/>
          <w:sz w:val="20"/>
        </w:rPr>
        <w:t>ABC</w:t>
      </w:r>
      <w:r w:rsidR="00D64E8A" w:rsidRPr="0060386F">
        <w:rPr>
          <w:rFonts w:ascii="Arial" w:hAnsi="Arial" w:cs="Arial"/>
          <w:sz w:val="20"/>
        </w:rPr>
        <w:t xml:space="preserve"> Company, Inc. (the “Company”) sponsors one defined contribution plan named the </w:t>
      </w:r>
      <w:r w:rsidRPr="0060386F">
        <w:rPr>
          <w:rFonts w:ascii="Arial" w:hAnsi="Arial" w:cs="Arial"/>
          <w:sz w:val="20"/>
        </w:rPr>
        <w:t xml:space="preserve">ABC Company </w:t>
      </w:r>
      <w:r w:rsidR="00D64E8A" w:rsidRPr="0060386F">
        <w:rPr>
          <w:rFonts w:ascii="Arial" w:hAnsi="Arial" w:cs="Arial"/>
          <w:sz w:val="20"/>
        </w:rPr>
        <w:t>401(k) Retirement Savings Plan (the “Plan”) to provide eligible employees, as defined in the Plan, with the opportunity to save for retirement on a tax-deferred basis and receive contributions from the Company. The Plan is qualified under section 401(a) of the Internal Revenue Code and is operated in compliance with the Employee Retirement Income Security Act (“ERISA”) of 1974, as amended.</w:t>
      </w:r>
    </w:p>
    <w:p w:rsidR="00770E40" w:rsidRPr="0060386F" w:rsidRDefault="00770E40" w:rsidP="00BB26F1">
      <w:pPr>
        <w:pStyle w:val="BodyText"/>
        <w:jc w:val="both"/>
        <w:rPr>
          <w:rFonts w:ascii="Arial" w:hAnsi="Arial" w:cs="Arial"/>
          <w:sz w:val="20"/>
        </w:rPr>
      </w:pPr>
    </w:p>
    <w:p w:rsidR="00D64E8A" w:rsidRPr="0060386F" w:rsidRDefault="00D64E8A" w:rsidP="00BB26F1">
      <w:pPr>
        <w:pStyle w:val="BodyText"/>
        <w:jc w:val="both"/>
        <w:rPr>
          <w:rFonts w:ascii="Arial" w:hAnsi="Arial" w:cs="Arial"/>
          <w:sz w:val="20"/>
        </w:rPr>
      </w:pPr>
      <w:r w:rsidRPr="0060386F">
        <w:rPr>
          <w:rFonts w:ascii="Arial" w:hAnsi="Arial" w:cs="Arial"/>
          <w:sz w:val="20"/>
        </w:rPr>
        <w:t xml:space="preserve">The Plan is a participant directed individual account plan that is intended to constitute a plan described in section 404(c) of ERISA and Department of Labor Regulations section 2550.404c-1, which means that the Plan’s fiduciaries may be relieved of liability for any losses that are the direct and necessary result of investment instructions given by a participant or beneficiary.  </w:t>
      </w:r>
      <w:r w:rsidR="00CA1DC3" w:rsidRPr="0060386F">
        <w:rPr>
          <w:rFonts w:ascii="Arial" w:hAnsi="Arial" w:cs="Arial"/>
          <w:sz w:val="20"/>
        </w:rPr>
        <w:t>ABC</w:t>
      </w:r>
      <w:r w:rsidRPr="0060386F">
        <w:rPr>
          <w:rFonts w:ascii="Arial" w:hAnsi="Arial" w:cs="Arial"/>
          <w:sz w:val="20"/>
        </w:rPr>
        <w:t xml:space="preserve"> Company, its directors, officers, employees, fiduciaries and subsidiaries (including any fiduciaries) do not underwrite, warrant, guarantee or in any way insure the performance of any investment option available through the Plan or any participants or beneficiaries against their individual or collective investment losses that may arise from their own decisions to invest in any or all of the Plan’s investment options.</w:t>
      </w:r>
    </w:p>
    <w:p w:rsidR="00770E40" w:rsidRPr="0060386F" w:rsidRDefault="00770E40" w:rsidP="00BB26F1">
      <w:pPr>
        <w:pStyle w:val="BodyText"/>
        <w:jc w:val="both"/>
        <w:rPr>
          <w:rFonts w:ascii="Arial" w:hAnsi="Arial" w:cs="Arial"/>
          <w:sz w:val="20"/>
        </w:rPr>
      </w:pPr>
    </w:p>
    <w:p w:rsidR="00770E40" w:rsidRPr="0060386F" w:rsidRDefault="00770E40" w:rsidP="00BB26F1">
      <w:pPr>
        <w:pStyle w:val="BodyText"/>
        <w:jc w:val="both"/>
        <w:rPr>
          <w:rFonts w:ascii="Arial" w:hAnsi="Arial" w:cs="Arial"/>
          <w:sz w:val="20"/>
        </w:rPr>
      </w:pPr>
      <w:r w:rsidRPr="0060386F">
        <w:rPr>
          <w:rFonts w:ascii="Arial" w:hAnsi="Arial" w:cs="Arial"/>
          <w:sz w:val="20"/>
        </w:rPr>
        <w:t xml:space="preserve">Given the Plan’s intent to comply with </w:t>
      </w:r>
      <w:r w:rsidR="004D44C4" w:rsidRPr="0060386F">
        <w:rPr>
          <w:rFonts w:ascii="Arial" w:hAnsi="Arial" w:cs="Arial"/>
          <w:sz w:val="20"/>
        </w:rPr>
        <w:t>s</w:t>
      </w:r>
      <w:r w:rsidRPr="0060386F">
        <w:rPr>
          <w:rFonts w:ascii="Arial" w:hAnsi="Arial" w:cs="Arial"/>
          <w:sz w:val="20"/>
        </w:rPr>
        <w:t>ection 404(c) of ERISA, the Plan will provide a broad range of investment choices to reflect the different risk tolerances common among participants in retirement savings plans. Additionally, participants will be given the flexibility to alter their investment choices and the direction of existing and future contributions while benefiting from daily valuation. The Plan will also provide participants with access to current investment information along with education materials and/or programs designed to compare investment options by risk and return characteristics in order to make informed investment decisions.</w:t>
      </w:r>
    </w:p>
    <w:p w:rsidR="00770E40" w:rsidRPr="0060386F" w:rsidRDefault="00770E40" w:rsidP="00BB26F1">
      <w:pPr>
        <w:jc w:val="both"/>
        <w:rPr>
          <w:rFonts w:ascii="Arial" w:hAnsi="Arial" w:cs="Arial"/>
        </w:rPr>
      </w:pPr>
    </w:p>
    <w:p w:rsidR="00770E40" w:rsidRPr="0060386F" w:rsidRDefault="00770E40" w:rsidP="00BB26F1">
      <w:pPr>
        <w:jc w:val="both"/>
        <w:rPr>
          <w:rFonts w:ascii="Arial" w:hAnsi="Arial" w:cs="Arial"/>
        </w:rPr>
      </w:pPr>
      <w:r w:rsidRPr="0060386F">
        <w:rPr>
          <w:rFonts w:ascii="Arial" w:hAnsi="Arial" w:cs="Arial"/>
        </w:rPr>
        <w:t>This Investment Policy Statement (“Policy”) defines the Plan’s investment objectives and establishes policies and procedures so that these objectives can be met in a prudent manner. This Policy is intended to:</w:t>
      </w:r>
    </w:p>
    <w:p w:rsidR="00387026" w:rsidRPr="0060386F" w:rsidRDefault="00387026" w:rsidP="00BB26F1">
      <w:pPr>
        <w:jc w:val="both"/>
        <w:rPr>
          <w:rFonts w:ascii="Arial" w:hAnsi="Arial" w:cs="Arial"/>
        </w:rPr>
      </w:pPr>
    </w:p>
    <w:p w:rsidR="00387026" w:rsidRPr="0060386F" w:rsidRDefault="00387026" w:rsidP="00F0001D">
      <w:pPr>
        <w:numPr>
          <w:ilvl w:val="0"/>
          <w:numId w:val="4"/>
        </w:numPr>
        <w:ind w:left="1080"/>
        <w:jc w:val="both"/>
        <w:rPr>
          <w:rFonts w:ascii="Arial" w:hAnsi="Arial" w:cs="Arial"/>
        </w:rPr>
      </w:pPr>
      <w:r w:rsidRPr="0060386F">
        <w:rPr>
          <w:rFonts w:ascii="Arial" w:hAnsi="Arial" w:cs="Arial"/>
        </w:rPr>
        <w:t>Provide a mechanism to establish and review the Plan’s investment objectives;</w:t>
      </w:r>
    </w:p>
    <w:p w:rsidR="00387026" w:rsidRPr="0060386F" w:rsidRDefault="00387026" w:rsidP="00F0001D">
      <w:pPr>
        <w:numPr>
          <w:ilvl w:val="0"/>
          <w:numId w:val="4"/>
        </w:numPr>
        <w:ind w:left="1080"/>
        <w:jc w:val="both"/>
        <w:rPr>
          <w:rFonts w:ascii="Arial" w:hAnsi="Arial" w:cs="Arial"/>
        </w:rPr>
      </w:pPr>
      <w:r w:rsidRPr="0060386F">
        <w:rPr>
          <w:rFonts w:ascii="Arial" w:hAnsi="Arial" w:cs="Arial"/>
        </w:rPr>
        <w:t>Identify those individuals/functions within the Company with responsibility for selecting and reviewing the Plan’s investments;</w:t>
      </w:r>
    </w:p>
    <w:p w:rsidR="00387026" w:rsidRPr="0060386F" w:rsidRDefault="00387026" w:rsidP="00F0001D">
      <w:pPr>
        <w:numPr>
          <w:ilvl w:val="0"/>
          <w:numId w:val="4"/>
        </w:numPr>
        <w:ind w:left="1080"/>
        <w:jc w:val="both"/>
        <w:rPr>
          <w:rFonts w:ascii="Arial" w:hAnsi="Arial" w:cs="Arial"/>
        </w:rPr>
      </w:pPr>
      <w:r w:rsidRPr="0060386F">
        <w:rPr>
          <w:rFonts w:ascii="Arial" w:hAnsi="Arial" w:cs="Arial"/>
        </w:rPr>
        <w:t xml:space="preserve">Designate the </w:t>
      </w:r>
      <w:r w:rsidR="004D44C4" w:rsidRPr="0060386F">
        <w:rPr>
          <w:rFonts w:ascii="Arial" w:hAnsi="Arial" w:cs="Arial"/>
        </w:rPr>
        <w:t xml:space="preserve">asset classes of </w:t>
      </w:r>
      <w:r w:rsidRPr="0060386F">
        <w:rPr>
          <w:rFonts w:ascii="Arial" w:hAnsi="Arial" w:cs="Arial"/>
        </w:rPr>
        <w:t xml:space="preserve">investment options available to participants with a clear understanding of the role each </w:t>
      </w:r>
      <w:r w:rsidR="004D44C4" w:rsidRPr="0060386F">
        <w:rPr>
          <w:rFonts w:ascii="Arial" w:hAnsi="Arial" w:cs="Arial"/>
        </w:rPr>
        <w:t>asset class</w:t>
      </w:r>
      <w:r w:rsidRPr="0060386F">
        <w:rPr>
          <w:rFonts w:ascii="Arial" w:hAnsi="Arial" w:cs="Arial"/>
        </w:rPr>
        <w:t xml:space="preserve"> performs;</w:t>
      </w:r>
    </w:p>
    <w:p w:rsidR="00387026" w:rsidRPr="0060386F" w:rsidRDefault="00387026" w:rsidP="00F0001D">
      <w:pPr>
        <w:numPr>
          <w:ilvl w:val="0"/>
          <w:numId w:val="4"/>
        </w:numPr>
        <w:ind w:left="1080"/>
        <w:jc w:val="both"/>
        <w:rPr>
          <w:rFonts w:ascii="Arial" w:hAnsi="Arial" w:cs="Arial"/>
        </w:rPr>
      </w:pPr>
      <w:r w:rsidRPr="0060386F">
        <w:rPr>
          <w:rFonts w:ascii="Arial" w:hAnsi="Arial" w:cs="Arial"/>
        </w:rPr>
        <w:t>Identify the criteria that may be considered when selecting funds</w:t>
      </w:r>
      <w:r w:rsidR="000F3329" w:rsidRPr="0060386F">
        <w:rPr>
          <w:rFonts w:ascii="Arial" w:hAnsi="Arial" w:cs="Arial"/>
        </w:rPr>
        <w:t xml:space="preserve"> within asset classes</w:t>
      </w:r>
      <w:r w:rsidRPr="0060386F">
        <w:rPr>
          <w:rFonts w:ascii="Arial" w:hAnsi="Arial" w:cs="Arial"/>
        </w:rPr>
        <w:t xml:space="preserve"> and evaluating the funds’ continued appropriateness; and</w:t>
      </w:r>
    </w:p>
    <w:p w:rsidR="00387026" w:rsidRPr="0060386F" w:rsidRDefault="00387026" w:rsidP="00F0001D">
      <w:pPr>
        <w:numPr>
          <w:ilvl w:val="0"/>
          <w:numId w:val="4"/>
        </w:numPr>
        <w:ind w:left="1080"/>
        <w:jc w:val="both"/>
        <w:rPr>
          <w:rFonts w:ascii="Arial" w:hAnsi="Arial" w:cs="Arial"/>
        </w:rPr>
      </w:pPr>
      <w:r w:rsidRPr="0060386F">
        <w:rPr>
          <w:rFonts w:ascii="Arial" w:hAnsi="Arial" w:cs="Arial"/>
        </w:rPr>
        <w:t xml:space="preserve">Provide a single document </w:t>
      </w:r>
      <w:r w:rsidR="000F3329" w:rsidRPr="0060386F">
        <w:rPr>
          <w:rFonts w:ascii="Arial" w:hAnsi="Arial" w:cs="Arial"/>
        </w:rPr>
        <w:t xml:space="preserve">designed </w:t>
      </w:r>
      <w:r w:rsidRPr="0060386F">
        <w:rPr>
          <w:rFonts w:ascii="Arial" w:hAnsi="Arial" w:cs="Arial"/>
        </w:rPr>
        <w:t>to ensure that the fiduciary investment and monitoring responsibilities of the Plan are met.</w:t>
      </w:r>
    </w:p>
    <w:p w:rsidR="00387026" w:rsidRPr="0060386F" w:rsidRDefault="00387026" w:rsidP="00BB26F1">
      <w:pPr>
        <w:jc w:val="both"/>
        <w:rPr>
          <w:rFonts w:ascii="Arial" w:hAnsi="Arial" w:cs="Arial"/>
        </w:rPr>
      </w:pPr>
    </w:p>
    <w:p w:rsidR="004D44C4" w:rsidRPr="0060386F" w:rsidRDefault="00770E40" w:rsidP="00BB26F1">
      <w:pPr>
        <w:jc w:val="both"/>
        <w:rPr>
          <w:rFonts w:ascii="Arial" w:hAnsi="Arial" w:cs="Arial"/>
        </w:rPr>
      </w:pPr>
      <w:r w:rsidRPr="0060386F">
        <w:rPr>
          <w:rFonts w:ascii="Arial" w:hAnsi="Arial" w:cs="Arial"/>
        </w:rPr>
        <w:t xml:space="preserve">The purpose of this Policy is to provide the </w:t>
      </w:r>
      <w:r w:rsidR="00D64E8A" w:rsidRPr="0060386F">
        <w:rPr>
          <w:rFonts w:ascii="Arial" w:hAnsi="Arial" w:cs="Arial"/>
        </w:rPr>
        <w:t>Investment Committee</w:t>
      </w:r>
      <w:r w:rsidR="0042072E" w:rsidRPr="0060386F">
        <w:rPr>
          <w:rFonts w:ascii="Arial" w:hAnsi="Arial" w:cs="Arial"/>
        </w:rPr>
        <w:t xml:space="preserve"> </w:t>
      </w:r>
      <w:r w:rsidRPr="0060386F">
        <w:rPr>
          <w:rFonts w:ascii="Arial" w:hAnsi="Arial" w:cs="Arial"/>
        </w:rPr>
        <w:t>(“Committee”), established and appointed by the Company, with guidance in discharging its fiduciary responsibilities of overseeing the investment guidelines described in this Policy.  The assets of the Plan should at all times be managed in compliance with the provisions of ERISA and other applicable laws.</w:t>
      </w:r>
    </w:p>
    <w:p w:rsidR="00387026" w:rsidRPr="0060386F" w:rsidRDefault="00387026" w:rsidP="00BB26F1">
      <w:pPr>
        <w:jc w:val="both"/>
        <w:rPr>
          <w:rFonts w:ascii="Arial" w:hAnsi="Arial" w:cs="Arial"/>
        </w:rPr>
      </w:pPr>
    </w:p>
    <w:p w:rsidR="00D44A73" w:rsidRPr="0060386F" w:rsidRDefault="00387026" w:rsidP="00BB26F1">
      <w:pPr>
        <w:pStyle w:val="Heading1"/>
        <w:jc w:val="both"/>
        <w:rPr>
          <w:rFonts w:ascii="Arial" w:hAnsi="Arial" w:cs="Arial"/>
          <w:sz w:val="20"/>
        </w:rPr>
      </w:pPr>
      <w:r w:rsidRPr="0060386F">
        <w:rPr>
          <w:rFonts w:ascii="Arial" w:hAnsi="Arial" w:cs="Arial"/>
          <w:sz w:val="20"/>
        </w:rPr>
        <w:br w:type="page"/>
      </w:r>
      <w:r w:rsidR="00D44A73" w:rsidRPr="0060386F">
        <w:rPr>
          <w:rFonts w:ascii="Arial" w:hAnsi="Arial" w:cs="Arial"/>
          <w:sz w:val="20"/>
        </w:rPr>
        <w:lastRenderedPageBreak/>
        <w:t>Investment Committee</w:t>
      </w:r>
    </w:p>
    <w:p w:rsidR="00BB26F1" w:rsidRPr="0060386F" w:rsidRDefault="00BB26F1" w:rsidP="00BB26F1">
      <w:pPr>
        <w:pStyle w:val="BodyTextIndent"/>
        <w:ind w:left="0"/>
        <w:jc w:val="both"/>
        <w:rPr>
          <w:rFonts w:ascii="Arial" w:hAnsi="Arial" w:cs="Arial"/>
          <w:sz w:val="20"/>
        </w:rPr>
      </w:pPr>
    </w:p>
    <w:p w:rsidR="00D44A73" w:rsidRPr="0060386F" w:rsidRDefault="00D44A73" w:rsidP="00B43D7B">
      <w:pPr>
        <w:pStyle w:val="BodyTextIndent"/>
        <w:ind w:left="0"/>
        <w:jc w:val="both"/>
        <w:rPr>
          <w:rFonts w:ascii="Arial" w:hAnsi="Arial" w:cs="Arial"/>
          <w:sz w:val="20"/>
        </w:rPr>
      </w:pPr>
      <w:r w:rsidRPr="0060386F">
        <w:rPr>
          <w:rFonts w:ascii="Arial" w:hAnsi="Arial" w:cs="Arial"/>
          <w:sz w:val="20"/>
        </w:rPr>
        <w:t>The Committee is charged with:</w:t>
      </w:r>
    </w:p>
    <w:p w:rsidR="00D44A73" w:rsidRPr="0060386F" w:rsidRDefault="00D44A73" w:rsidP="00BB26F1">
      <w:pPr>
        <w:jc w:val="both"/>
        <w:rPr>
          <w:rFonts w:ascii="Arial" w:hAnsi="Arial" w:cs="Arial"/>
        </w:rPr>
      </w:pPr>
    </w:p>
    <w:p w:rsidR="00D44A73" w:rsidRPr="0060386F" w:rsidRDefault="00D44A73" w:rsidP="00F0001D">
      <w:pPr>
        <w:numPr>
          <w:ilvl w:val="0"/>
          <w:numId w:val="3"/>
        </w:numPr>
        <w:ind w:left="1080"/>
        <w:jc w:val="both"/>
        <w:rPr>
          <w:rFonts w:ascii="Arial" w:hAnsi="Arial" w:cs="Arial"/>
        </w:rPr>
      </w:pPr>
      <w:r w:rsidRPr="0060386F">
        <w:rPr>
          <w:rFonts w:ascii="Arial" w:hAnsi="Arial" w:cs="Arial"/>
        </w:rPr>
        <w:t>Establishing, maintaining, and reviewing the Policy;</w:t>
      </w:r>
    </w:p>
    <w:p w:rsidR="00D44A73" w:rsidRPr="0060386F" w:rsidRDefault="00D44A73" w:rsidP="00F0001D">
      <w:pPr>
        <w:numPr>
          <w:ilvl w:val="0"/>
          <w:numId w:val="3"/>
        </w:numPr>
        <w:ind w:left="1080"/>
        <w:jc w:val="both"/>
        <w:rPr>
          <w:rFonts w:ascii="Arial" w:hAnsi="Arial" w:cs="Arial"/>
        </w:rPr>
      </w:pPr>
      <w:r w:rsidRPr="0060386F">
        <w:rPr>
          <w:rFonts w:ascii="Arial" w:hAnsi="Arial" w:cs="Arial"/>
        </w:rPr>
        <w:t>Ensuring compliance with ERISA and any other relevant state and federal laws, regulations and rulings that impact the investment process;</w:t>
      </w:r>
    </w:p>
    <w:p w:rsidR="00D44A73" w:rsidRPr="0060386F" w:rsidRDefault="00D44A73" w:rsidP="00F0001D">
      <w:pPr>
        <w:numPr>
          <w:ilvl w:val="0"/>
          <w:numId w:val="3"/>
        </w:numPr>
        <w:ind w:left="1080"/>
        <w:jc w:val="both"/>
        <w:rPr>
          <w:rFonts w:ascii="Arial" w:hAnsi="Arial" w:cs="Arial"/>
        </w:rPr>
      </w:pPr>
      <w:r w:rsidRPr="0060386F">
        <w:rPr>
          <w:rFonts w:ascii="Arial" w:hAnsi="Arial" w:cs="Arial"/>
        </w:rPr>
        <w:t>Identifying and selecting a blend of well-managed investment options for the Plan that offer an adequately diversified lineup;</w:t>
      </w:r>
    </w:p>
    <w:p w:rsidR="00D44A73" w:rsidRPr="0060386F" w:rsidRDefault="00D44A73" w:rsidP="00F0001D">
      <w:pPr>
        <w:numPr>
          <w:ilvl w:val="0"/>
          <w:numId w:val="3"/>
        </w:numPr>
        <w:ind w:left="1080"/>
        <w:jc w:val="both"/>
        <w:rPr>
          <w:rFonts w:ascii="Arial" w:hAnsi="Arial" w:cs="Arial"/>
        </w:rPr>
      </w:pPr>
      <w:r w:rsidRPr="0060386F">
        <w:rPr>
          <w:rFonts w:ascii="Arial" w:hAnsi="Arial" w:cs="Arial"/>
        </w:rPr>
        <w:t xml:space="preserve">Monitoring the investment strategies, performance, and risk characteristics of investment options on a regular basis; </w:t>
      </w:r>
    </w:p>
    <w:p w:rsidR="00D44A73" w:rsidRPr="0060386F" w:rsidRDefault="00D44A73" w:rsidP="00F0001D">
      <w:pPr>
        <w:numPr>
          <w:ilvl w:val="0"/>
          <w:numId w:val="3"/>
        </w:numPr>
        <w:ind w:left="1080"/>
        <w:jc w:val="both"/>
        <w:rPr>
          <w:rFonts w:ascii="Arial" w:hAnsi="Arial" w:cs="Arial"/>
        </w:rPr>
      </w:pPr>
      <w:r w:rsidRPr="0060386F">
        <w:rPr>
          <w:rFonts w:ascii="Arial" w:hAnsi="Arial" w:cs="Arial"/>
        </w:rPr>
        <w:t>Taking appropriate action if objectives are not being met or if the investment strategy employed by any of the funds is no longer appropriate for the investment option;</w:t>
      </w:r>
    </w:p>
    <w:p w:rsidR="00D44A73" w:rsidRPr="0060386F" w:rsidRDefault="00D44A73" w:rsidP="00F0001D">
      <w:pPr>
        <w:numPr>
          <w:ilvl w:val="0"/>
          <w:numId w:val="3"/>
        </w:numPr>
        <w:ind w:left="1080"/>
        <w:jc w:val="both"/>
        <w:rPr>
          <w:rFonts w:ascii="Arial" w:hAnsi="Arial" w:cs="Arial"/>
        </w:rPr>
      </w:pPr>
      <w:r w:rsidRPr="0060386F">
        <w:rPr>
          <w:rFonts w:ascii="Arial" w:hAnsi="Arial" w:cs="Arial"/>
        </w:rPr>
        <w:t>Evaluating services available to assist participants in meeting their investing needs (e.g., managed accounts, advice, etc.);</w:t>
      </w:r>
    </w:p>
    <w:p w:rsidR="00D44A73" w:rsidRPr="0060386F" w:rsidRDefault="004D44C4" w:rsidP="00F0001D">
      <w:pPr>
        <w:numPr>
          <w:ilvl w:val="0"/>
          <w:numId w:val="3"/>
        </w:numPr>
        <w:ind w:left="1080"/>
        <w:jc w:val="both"/>
        <w:rPr>
          <w:rFonts w:ascii="Arial" w:hAnsi="Arial" w:cs="Arial"/>
        </w:rPr>
      </w:pPr>
      <w:r w:rsidRPr="0060386F">
        <w:rPr>
          <w:rFonts w:ascii="Arial" w:hAnsi="Arial" w:cs="Arial"/>
        </w:rPr>
        <w:t xml:space="preserve">Determining </w:t>
      </w:r>
      <w:r w:rsidR="00D44A73" w:rsidRPr="0060386F">
        <w:rPr>
          <w:rFonts w:ascii="Arial" w:hAnsi="Arial" w:cs="Arial"/>
        </w:rPr>
        <w:t xml:space="preserve">that </w:t>
      </w:r>
      <w:r w:rsidR="000F3329" w:rsidRPr="0060386F">
        <w:rPr>
          <w:rFonts w:ascii="Arial" w:hAnsi="Arial" w:cs="Arial"/>
        </w:rPr>
        <w:t xml:space="preserve">investment </w:t>
      </w:r>
      <w:r w:rsidR="00D44A73" w:rsidRPr="0060386F">
        <w:rPr>
          <w:rFonts w:ascii="Arial" w:hAnsi="Arial" w:cs="Arial"/>
        </w:rPr>
        <w:t xml:space="preserve">fees paid to service providers and other </w:t>
      </w:r>
      <w:r w:rsidR="000F3329" w:rsidRPr="0060386F">
        <w:rPr>
          <w:rFonts w:ascii="Arial" w:hAnsi="Arial" w:cs="Arial"/>
        </w:rPr>
        <w:t xml:space="preserve">investment </w:t>
      </w:r>
      <w:r w:rsidR="00D44A73" w:rsidRPr="0060386F">
        <w:rPr>
          <w:rFonts w:ascii="Arial" w:hAnsi="Arial" w:cs="Arial"/>
        </w:rPr>
        <w:t>expenses of the Plan are reasonable; and</w:t>
      </w:r>
    </w:p>
    <w:p w:rsidR="0042072E" w:rsidRPr="0060386F" w:rsidRDefault="00D44A73" w:rsidP="00F0001D">
      <w:pPr>
        <w:numPr>
          <w:ilvl w:val="0"/>
          <w:numId w:val="3"/>
        </w:numPr>
        <w:ind w:left="1080"/>
        <w:jc w:val="both"/>
        <w:rPr>
          <w:rFonts w:ascii="Arial" w:hAnsi="Arial" w:cs="Arial"/>
        </w:rPr>
      </w:pPr>
      <w:r w:rsidRPr="0060386F">
        <w:rPr>
          <w:rFonts w:ascii="Arial" w:hAnsi="Arial" w:cs="Arial"/>
        </w:rPr>
        <w:t xml:space="preserve">Identifying and selecting service providers to assist in meeting and maintaining Plan </w:t>
      </w:r>
      <w:r w:rsidR="000F3329" w:rsidRPr="0060386F">
        <w:rPr>
          <w:rFonts w:ascii="Arial" w:hAnsi="Arial" w:cs="Arial"/>
        </w:rPr>
        <w:t xml:space="preserve">investment </w:t>
      </w:r>
      <w:r w:rsidRPr="0060386F">
        <w:rPr>
          <w:rFonts w:ascii="Arial" w:hAnsi="Arial" w:cs="Arial"/>
        </w:rPr>
        <w:t xml:space="preserve">objectives. </w:t>
      </w:r>
    </w:p>
    <w:p w:rsidR="0042072E" w:rsidRPr="0060386F" w:rsidRDefault="0042072E" w:rsidP="00BB26F1">
      <w:pPr>
        <w:jc w:val="both"/>
        <w:rPr>
          <w:rFonts w:ascii="Arial" w:hAnsi="Arial" w:cs="Arial"/>
          <w:b/>
          <w:i/>
        </w:rPr>
      </w:pPr>
    </w:p>
    <w:p w:rsidR="00D44A73" w:rsidRPr="0060386F" w:rsidRDefault="00D44A73" w:rsidP="00BB26F1">
      <w:pPr>
        <w:pStyle w:val="Heading1"/>
        <w:jc w:val="both"/>
        <w:rPr>
          <w:rFonts w:ascii="Arial" w:hAnsi="Arial" w:cs="Arial"/>
          <w:sz w:val="20"/>
        </w:rPr>
      </w:pPr>
      <w:r w:rsidRPr="0060386F">
        <w:rPr>
          <w:rFonts w:ascii="Arial" w:hAnsi="Arial" w:cs="Arial"/>
          <w:sz w:val="20"/>
        </w:rPr>
        <w:t>Investment Policies and Objectives</w:t>
      </w:r>
    </w:p>
    <w:p w:rsidR="00D44A73" w:rsidRPr="0060386F" w:rsidRDefault="00D44A73" w:rsidP="00BB26F1">
      <w:pPr>
        <w:jc w:val="both"/>
        <w:outlineLvl w:val="0"/>
        <w:rPr>
          <w:rFonts w:ascii="Arial" w:hAnsi="Arial" w:cs="Arial"/>
          <w:b/>
          <w:i/>
        </w:rPr>
      </w:pPr>
    </w:p>
    <w:p w:rsidR="00D44A73" w:rsidRPr="0060386F" w:rsidRDefault="00D44A73" w:rsidP="00BB26F1">
      <w:pPr>
        <w:jc w:val="both"/>
        <w:outlineLvl w:val="0"/>
        <w:rPr>
          <w:rFonts w:ascii="Arial" w:hAnsi="Arial" w:cs="Arial"/>
          <w:b/>
          <w:i/>
        </w:rPr>
      </w:pPr>
      <w:r w:rsidRPr="0060386F">
        <w:rPr>
          <w:rFonts w:ascii="Arial" w:hAnsi="Arial" w:cs="Arial"/>
          <w:b/>
          <w:i/>
        </w:rPr>
        <w:t>Investment Objectives</w:t>
      </w:r>
      <w:r w:rsidR="00E24F25" w:rsidRPr="0060386F">
        <w:rPr>
          <w:rFonts w:ascii="Arial" w:hAnsi="Arial" w:cs="Arial"/>
          <w:b/>
          <w:i/>
        </w:rPr>
        <w:t>:</w:t>
      </w:r>
    </w:p>
    <w:p w:rsidR="00D44A73" w:rsidRPr="0060386F" w:rsidRDefault="00D44A73" w:rsidP="00BB26F1">
      <w:pPr>
        <w:jc w:val="both"/>
        <w:outlineLvl w:val="0"/>
        <w:rPr>
          <w:rFonts w:ascii="Arial" w:hAnsi="Arial" w:cs="Arial"/>
          <w:b/>
          <w:i/>
        </w:rPr>
      </w:pPr>
    </w:p>
    <w:p w:rsidR="00D44A73" w:rsidRPr="0060386F" w:rsidRDefault="00D44A73" w:rsidP="00BB26F1">
      <w:pPr>
        <w:jc w:val="both"/>
        <w:rPr>
          <w:rFonts w:ascii="Arial" w:hAnsi="Arial" w:cs="Arial"/>
        </w:rPr>
      </w:pPr>
      <w:r w:rsidRPr="0060386F">
        <w:rPr>
          <w:rFonts w:ascii="Arial" w:hAnsi="Arial" w:cs="Arial"/>
        </w:rPr>
        <w:t xml:space="preserve">Considering the varied attitudes, goals, expectations, investment time horizons, and risk tolerance levels of the Plan’s participants, the Plan will offer a broad array of investment options across the capitalization and style spectrum that allow participants to build portfolios consistent with their needs and objectives. Thus, the well-diversified investment options the Plan will offer include choices among the three primary asset classes (cash, bonds, and stocks). Within stocks, there should be additional opportunities to diversify by style (growth and value), size (large capitalization and small capitalization) and region (U.S. and international). </w:t>
      </w:r>
    </w:p>
    <w:p w:rsidR="00D44A73" w:rsidRPr="0060386F" w:rsidRDefault="00D44A73" w:rsidP="00BB26F1">
      <w:pPr>
        <w:jc w:val="both"/>
        <w:rPr>
          <w:rFonts w:ascii="Arial" w:hAnsi="Arial" w:cs="Arial"/>
        </w:rPr>
      </w:pPr>
    </w:p>
    <w:p w:rsidR="00D44A73" w:rsidRPr="0060386F" w:rsidRDefault="00D44A73" w:rsidP="00BB26F1">
      <w:pPr>
        <w:jc w:val="both"/>
        <w:rPr>
          <w:rFonts w:ascii="Arial" w:hAnsi="Arial" w:cs="Arial"/>
        </w:rPr>
      </w:pPr>
      <w:r w:rsidRPr="0060386F">
        <w:rPr>
          <w:rFonts w:ascii="Arial" w:hAnsi="Arial" w:cs="Arial"/>
        </w:rPr>
        <w:t>In addition, it is intended that the Plan will offer a variety of investment options (funds) that allow employees to construct an investment portfolio across a broad risk/return spectrum to achieve their own investment goals based on the following:</w:t>
      </w:r>
    </w:p>
    <w:p w:rsidR="00D44A73" w:rsidRPr="0060386F" w:rsidRDefault="00D44A73" w:rsidP="00BB26F1">
      <w:pPr>
        <w:jc w:val="both"/>
        <w:rPr>
          <w:rFonts w:ascii="Arial" w:hAnsi="Arial" w:cs="Arial"/>
        </w:rPr>
      </w:pPr>
    </w:p>
    <w:p w:rsidR="00D44A73" w:rsidRPr="0060386F" w:rsidRDefault="00D44A73" w:rsidP="00F0001D">
      <w:pPr>
        <w:numPr>
          <w:ilvl w:val="0"/>
          <w:numId w:val="11"/>
        </w:numPr>
        <w:ind w:left="1080"/>
        <w:jc w:val="both"/>
        <w:rPr>
          <w:rFonts w:ascii="Arial" w:hAnsi="Arial" w:cs="Arial"/>
        </w:rPr>
      </w:pPr>
      <w:r w:rsidRPr="0060386F">
        <w:rPr>
          <w:rFonts w:ascii="Arial" w:hAnsi="Arial" w:cs="Arial"/>
        </w:rPr>
        <w:t>Each fund should be an appropriate building block to forming a reasoned and diversified portfolio;</w:t>
      </w:r>
    </w:p>
    <w:p w:rsidR="00D44A73" w:rsidRPr="0060386F" w:rsidRDefault="00D44A73" w:rsidP="00F0001D">
      <w:pPr>
        <w:numPr>
          <w:ilvl w:val="0"/>
          <w:numId w:val="1"/>
        </w:numPr>
        <w:ind w:left="1080"/>
        <w:jc w:val="both"/>
        <w:rPr>
          <w:rFonts w:ascii="Arial" w:hAnsi="Arial" w:cs="Arial"/>
        </w:rPr>
      </w:pPr>
      <w:r w:rsidRPr="0060386F">
        <w:rPr>
          <w:rFonts w:ascii="Arial" w:hAnsi="Arial" w:cs="Arial"/>
        </w:rPr>
        <w:t>Each fund should be relatively low-cost and broadly diversified within its area of focus;</w:t>
      </w:r>
    </w:p>
    <w:p w:rsidR="00D44A73" w:rsidRPr="0060386F" w:rsidRDefault="00D44A73" w:rsidP="00F0001D">
      <w:pPr>
        <w:numPr>
          <w:ilvl w:val="0"/>
          <w:numId w:val="1"/>
        </w:numPr>
        <w:ind w:left="1080"/>
        <w:jc w:val="both"/>
        <w:rPr>
          <w:rFonts w:ascii="Arial" w:hAnsi="Arial" w:cs="Arial"/>
        </w:rPr>
      </w:pPr>
      <w:r w:rsidRPr="0060386F">
        <w:rPr>
          <w:rFonts w:ascii="Arial" w:hAnsi="Arial" w:cs="Arial"/>
        </w:rPr>
        <w:t>Each fund should capture asset-class returns (i.e., be fully invested and diversified in its area of focus);</w:t>
      </w:r>
    </w:p>
    <w:p w:rsidR="00D44A73" w:rsidRPr="0060386F" w:rsidRDefault="00D44A73" w:rsidP="00F0001D">
      <w:pPr>
        <w:numPr>
          <w:ilvl w:val="0"/>
          <w:numId w:val="1"/>
        </w:numPr>
        <w:ind w:left="1080"/>
        <w:jc w:val="both"/>
        <w:rPr>
          <w:rFonts w:ascii="Arial" w:hAnsi="Arial" w:cs="Arial"/>
        </w:rPr>
      </w:pPr>
      <w:r w:rsidRPr="0060386F">
        <w:rPr>
          <w:rFonts w:ascii="Arial" w:hAnsi="Arial" w:cs="Arial"/>
        </w:rPr>
        <w:t>Each fund’s investment strategy should be easy to communicate and readily understood; and</w:t>
      </w:r>
    </w:p>
    <w:p w:rsidR="00D44A73" w:rsidRPr="0060386F" w:rsidRDefault="00D44A73" w:rsidP="00F0001D">
      <w:pPr>
        <w:numPr>
          <w:ilvl w:val="0"/>
          <w:numId w:val="1"/>
        </w:numPr>
        <w:ind w:left="1080"/>
        <w:jc w:val="both"/>
        <w:rPr>
          <w:rFonts w:ascii="Arial" w:hAnsi="Arial" w:cs="Arial"/>
        </w:rPr>
      </w:pPr>
      <w:r w:rsidRPr="0060386F">
        <w:rPr>
          <w:rFonts w:ascii="Arial" w:hAnsi="Arial" w:cs="Arial"/>
        </w:rPr>
        <w:t>The Company should not be the sole source of information for the investment options.</w:t>
      </w:r>
    </w:p>
    <w:p w:rsidR="00D44A73" w:rsidRPr="0060386F" w:rsidRDefault="00D44A73" w:rsidP="00BB26F1">
      <w:pPr>
        <w:jc w:val="both"/>
        <w:rPr>
          <w:rFonts w:ascii="Arial" w:hAnsi="Arial" w:cs="Arial"/>
        </w:rPr>
      </w:pPr>
    </w:p>
    <w:p w:rsidR="00D44A73" w:rsidRPr="0060386F" w:rsidRDefault="00D44A73" w:rsidP="00BB26F1">
      <w:pPr>
        <w:jc w:val="both"/>
        <w:rPr>
          <w:rFonts w:ascii="Arial" w:hAnsi="Arial" w:cs="Arial"/>
        </w:rPr>
      </w:pPr>
      <w:r w:rsidRPr="0060386F">
        <w:rPr>
          <w:rFonts w:ascii="Arial" w:hAnsi="Arial" w:cs="Arial"/>
        </w:rPr>
        <w:t>All funds will allow daily liquidity and valuation.  Generally, transfers among funds may occur daily however, these transfers are subject to the specific fund rules and restrictions as outlined in the fund’s current prospectus</w:t>
      </w:r>
      <w:r w:rsidR="001B2A7A" w:rsidRPr="0060386F">
        <w:rPr>
          <w:rFonts w:ascii="Arial" w:hAnsi="Arial" w:cs="Arial"/>
        </w:rPr>
        <w:t xml:space="preserve"> or summary documents</w:t>
      </w:r>
      <w:r w:rsidRPr="0060386F">
        <w:rPr>
          <w:rFonts w:ascii="Arial" w:hAnsi="Arial" w:cs="Arial"/>
        </w:rPr>
        <w:t xml:space="preserve"> and the plan’s fund transfer policies.  </w:t>
      </w:r>
    </w:p>
    <w:p w:rsidR="00962C5A" w:rsidRPr="0060386F" w:rsidRDefault="00962C5A">
      <w:pPr>
        <w:rPr>
          <w:rFonts w:ascii="Arial" w:hAnsi="Arial" w:cs="Arial"/>
          <w:b/>
          <w:i/>
        </w:rPr>
      </w:pPr>
      <w:r w:rsidRPr="0060386F">
        <w:rPr>
          <w:rFonts w:ascii="Arial" w:hAnsi="Arial" w:cs="Arial"/>
          <w:b/>
          <w:i/>
        </w:rPr>
        <w:br w:type="page"/>
      </w:r>
    </w:p>
    <w:p w:rsidR="00D44A73" w:rsidRPr="0060386F" w:rsidRDefault="00D44A73" w:rsidP="00BB26F1">
      <w:pPr>
        <w:jc w:val="both"/>
        <w:rPr>
          <w:rFonts w:ascii="Arial" w:hAnsi="Arial" w:cs="Arial"/>
          <w:b/>
          <w:i/>
        </w:rPr>
      </w:pPr>
    </w:p>
    <w:p w:rsidR="00D64E8A" w:rsidRPr="0060386F" w:rsidRDefault="00D64E8A" w:rsidP="00BB26F1">
      <w:pPr>
        <w:jc w:val="both"/>
        <w:rPr>
          <w:rFonts w:ascii="Arial" w:hAnsi="Arial" w:cs="Arial"/>
        </w:rPr>
      </w:pPr>
      <w:r w:rsidRPr="0060386F">
        <w:rPr>
          <w:rFonts w:ascii="Arial" w:hAnsi="Arial" w:cs="Arial"/>
          <w:b/>
          <w:i/>
        </w:rPr>
        <w:t>Investment Categories and Options</w:t>
      </w:r>
      <w:r w:rsidR="00E24F25" w:rsidRPr="0060386F">
        <w:rPr>
          <w:rFonts w:ascii="Arial" w:hAnsi="Arial" w:cs="Arial"/>
          <w:b/>
          <w:i/>
        </w:rPr>
        <w:t>:</w:t>
      </w:r>
    </w:p>
    <w:p w:rsidR="00D64E8A" w:rsidRPr="0060386F" w:rsidRDefault="00D64E8A" w:rsidP="00BB26F1">
      <w:pPr>
        <w:jc w:val="both"/>
        <w:rPr>
          <w:rFonts w:ascii="Arial" w:hAnsi="Arial" w:cs="Arial"/>
        </w:rPr>
      </w:pPr>
    </w:p>
    <w:p w:rsidR="00AB1FEB" w:rsidRPr="0060386F" w:rsidRDefault="00AB1FEB" w:rsidP="00AB1FEB">
      <w:pPr>
        <w:autoSpaceDE w:val="0"/>
        <w:autoSpaceDN w:val="0"/>
        <w:adjustRightInd w:val="0"/>
        <w:jc w:val="both"/>
        <w:rPr>
          <w:rFonts w:ascii="Arial" w:hAnsi="Arial" w:cs="Arial"/>
        </w:rPr>
      </w:pPr>
      <w:r w:rsidRPr="0060386F">
        <w:rPr>
          <w:rFonts w:ascii="Arial" w:hAnsi="Arial" w:cs="Arial"/>
        </w:rPr>
        <w:t xml:space="preserve">In selecting the investments, the </w:t>
      </w:r>
      <w:r w:rsidR="004D44C4" w:rsidRPr="0060386F">
        <w:rPr>
          <w:rFonts w:ascii="Arial" w:hAnsi="Arial" w:cs="Arial"/>
        </w:rPr>
        <w:t>C</w:t>
      </w:r>
      <w:r w:rsidRPr="0060386F">
        <w:rPr>
          <w:rFonts w:ascii="Arial" w:hAnsi="Arial" w:cs="Arial"/>
        </w:rPr>
        <w:t>ommittee inten</w:t>
      </w:r>
      <w:r w:rsidR="004D44C4" w:rsidRPr="0060386F">
        <w:rPr>
          <w:rFonts w:ascii="Arial" w:hAnsi="Arial" w:cs="Arial"/>
        </w:rPr>
        <w:t>d</w:t>
      </w:r>
      <w:r w:rsidRPr="0060386F">
        <w:rPr>
          <w:rFonts w:ascii="Arial" w:hAnsi="Arial" w:cs="Arial"/>
        </w:rPr>
        <w:t>s to offer an investment line-up that is understandable to participants as well as adequately diversified across assets classes, covering a broad range of ris</w:t>
      </w:r>
      <w:r w:rsidR="005849B5" w:rsidRPr="0060386F">
        <w:rPr>
          <w:rFonts w:ascii="Arial" w:hAnsi="Arial" w:cs="Arial"/>
        </w:rPr>
        <w:t xml:space="preserve">k and return characteristics.  </w:t>
      </w:r>
      <w:r w:rsidRPr="0060386F">
        <w:rPr>
          <w:rFonts w:ascii="Arial" w:hAnsi="Arial" w:cs="Arial"/>
        </w:rPr>
        <w:t xml:space="preserve">The </w:t>
      </w:r>
      <w:r w:rsidR="004D44C4" w:rsidRPr="0060386F">
        <w:rPr>
          <w:rFonts w:ascii="Arial" w:hAnsi="Arial" w:cs="Arial"/>
        </w:rPr>
        <w:t>C</w:t>
      </w:r>
      <w:r w:rsidRPr="0060386F">
        <w:rPr>
          <w:rFonts w:ascii="Arial" w:hAnsi="Arial" w:cs="Arial"/>
        </w:rPr>
        <w:t xml:space="preserve">ommittee </w:t>
      </w:r>
      <w:r w:rsidR="004D44C4" w:rsidRPr="0060386F">
        <w:rPr>
          <w:rFonts w:ascii="Arial" w:hAnsi="Arial" w:cs="Arial"/>
        </w:rPr>
        <w:t>will consider investment options within</w:t>
      </w:r>
      <w:r w:rsidRPr="0060386F">
        <w:rPr>
          <w:rFonts w:ascii="Arial" w:hAnsi="Arial" w:cs="Arial"/>
        </w:rPr>
        <w:t xml:space="preserve"> the following investment categories to enable participants to meet their individual savings goals:</w:t>
      </w:r>
    </w:p>
    <w:p w:rsidR="00AB1FEB" w:rsidRPr="0060386F" w:rsidRDefault="00AB1FEB" w:rsidP="00AB1FEB">
      <w:pPr>
        <w:autoSpaceDE w:val="0"/>
        <w:autoSpaceDN w:val="0"/>
        <w:adjustRightInd w:val="0"/>
        <w:jc w:val="both"/>
        <w:rPr>
          <w:rFonts w:ascii="Arial" w:hAnsi="Arial" w:cs="Arial"/>
        </w:rPr>
      </w:pPr>
    </w:p>
    <w:p w:rsidR="00AB1FEB" w:rsidRPr="0060386F" w:rsidRDefault="00AB1FEB" w:rsidP="00AB1FEB">
      <w:pPr>
        <w:autoSpaceDE w:val="0"/>
        <w:autoSpaceDN w:val="0"/>
        <w:adjustRightInd w:val="0"/>
        <w:jc w:val="both"/>
        <w:rPr>
          <w:rFonts w:ascii="Arial" w:hAnsi="Arial" w:cs="Arial"/>
        </w:rPr>
      </w:pPr>
      <w:r w:rsidRPr="0060386F">
        <w:rPr>
          <w:rFonts w:ascii="Arial" w:hAnsi="Arial" w:cs="Arial"/>
        </w:rPr>
        <w:t xml:space="preserve">  </w:t>
      </w:r>
    </w:p>
    <w:tbl>
      <w:tblPr>
        <w:tblStyle w:val="TableGrid"/>
        <w:tblW w:w="0" w:type="auto"/>
        <w:tblInd w:w="108" w:type="dxa"/>
        <w:tblLook w:val="04A0" w:firstRow="1" w:lastRow="0" w:firstColumn="1" w:lastColumn="0" w:noHBand="0" w:noVBand="1"/>
      </w:tblPr>
      <w:tblGrid>
        <w:gridCol w:w="4320"/>
        <w:gridCol w:w="4320"/>
      </w:tblGrid>
      <w:tr w:rsidR="00AB1FEB" w:rsidRPr="0060386F" w:rsidTr="006159E1">
        <w:trPr>
          <w:trHeight w:val="230"/>
        </w:trPr>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Short-Term Reserves</w:t>
            </w:r>
          </w:p>
        </w:tc>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bookmarkStart w:id="1" w:name="OLE_LINK13"/>
            <w:bookmarkStart w:id="2" w:name="OLE_LINK3"/>
            <w:r w:rsidRPr="0060386F">
              <w:rPr>
                <w:rFonts w:ascii="Arial" w:hAnsi="Arial" w:cs="Arial"/>
              </w:rPr>
              <w:t>Mid-Cap Equity</w:t>
            </w:r>
            <w:bookmarkEnd w:id="1"/>
            <w:bookmarkEnd w:id="2"/>
          </w:p>
        </w:tc>
      </w:tr>
      <w:tr w:rsidR="00AB1FEB" w:rsidRPr="0060386F" w:rsidTr="006159E1">
        <w:trPr>
          <w:trHeight w:val="230"/>
        </w:trPr>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Fixed Income</w:t>
            </w:r>
          </w:p>
        </w:tc>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Small-Cap Equity</w:t>
            </w:r>
          </w:p>
        </w:tc>
      </w:tr>
      <w:tr w:rsidR="00AB1FEB" w:rsidRPr="0060386F" w:rsidTr="006159E1">
        <w:trPr>
          <w:trHeight w:val="230"/>
        </w:trPr>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Balanced</w:t>
            </w:r>
          </w:p>
        </w:tc>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International / Global</w:t>
            </w:r>
          </w:p>
        </w:tc>
      </w:tr>
      <w:tr w:rsidR="00AB1FEB" w:rsidRPr="0060386F" w:rsidTr="006159E1">
        <w:trPr>
          <w:trHeight w:val="230"/>
        </w:trPr>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Target Date</w:t>
            </w:r>
          </w:p>
        </w:tc>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Specialty</w:t>
            </w:r>
          </w:p>
        </w:tc>
      </w:tr>
      <w:tr w:rsidR="00AB1FEB" w:rsidRPr="0060386F" w:rsidTr="006159E1">
        <w:trPr>
          <w:trHeight w:val="230"/>
        </w:trPr>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Large-Cap Equity</w:t>
            </w:r>
          </w:p>
        </w:tc>
        <w:tc>
          <w:tcPr>
            <w:tcW w:w="4320" w:type="dxa"/>
            <w:vAlign w:val="center"/>
          </w:tcPr>
          <w:p w:rsidR="00A4106A" w:rsidRPr="0060386F" w:rsidRDefault="00AB1FEB">
            <w:pPr>
              <w:autoSpaceDE w:val="0"/>
              <w:autoSpaceDN w:val="0"/>
              <w:adjustRightInd w:val="0"/>
              <w:spacing w:line="360" w:lineRule="auto"/>
              <w:jc w:val="center"/>
              <w:rPr>
                <w:rFonts w:ascii="Arial" w:hAnsi="Arial" w:cs="Arial"/>
              </w:rPr>
            </w:pPr>
            <w:r w:rsidRPr="0060386F">
              <w:rPr>
                <w:rFonts w:ascii="Arial" w:hAnsi="Arial" w:cs="Arial"/>
              </w:rPr>
              <w:t>All-Asset</w:t>
            </w:r>
          </w:p>
        </w:tc>
      </w:tr>
    </w:tbl>
    <w:p w:rsidR="00AB1FEB" w:rsidRPr="0060386F" w:rsidRDefault="00AB1FEB" w:rsidP="00AB1FEB">
      <w:pPr>
        <w:autoSpaceDE w:val="0"/>
        <w:autoSpaceDN w:val="0"/>
        <w:adjustRightInd w:val="0"/>
        <w:rPr>
          <w:rFonts w:ascii="Arial" w:hAnsi="Arial" w:cs="Arial"/>
        </w:rPr>
      </w:pPr>
    </w:p>
    <w:p w:rsidR="00AB1FEB" w:rsidRPr="0060386F" w:rsidRDefault="00AB1FEB" w:rsidP="00AB1FEB">
      <w:pPr>
        <w:autoSpaceDE w:val="0"/>
        <w:autoSpaceDN w:val="0"/>
        <w:adjustRightInd w:val="0"/>
        <w:rPr>
          <w:rFonts w:ascii="Arial" w:hAnsi="Arial" w:cs="Arial"/>
        </w:rPr>
      </w:pPr>
    </w:p>
    <w:p w:rsidR="00842F42" w:rsidRPr="0060386F" w:rsidRDefault="00AB1FEB" w:rsidP="00842F42">
      <w:pPr>
        <w:autoSpaceDE w:val="0"/>
        <w:autoSpaceDN w:val="0"/>
        <w:adjustRightInd w:val="0"/>
        <w:jc w:val="both"/>
        <w:rPr>
          <w:rFonts w:ascii="Arial" w:hAnsi="Arial" w:cs="Arial"/>
        </w:rPr>
      </w:pPr>
      <w:r w:rsidRPr="0060386F">
        <w:rPr>
          <w:rFonts w:ascii="Arial" w:hAnsi="Arial" w:cs="Arial"/>
        </w:rPr>
        <w:t>Within these investment categories, the Committee chose the investments</w:t>
      </w:r>
      <w:r w:rsidR="004D44C4" w:rsidRPr="0060386F">
        <w:rPr>
          <w:rFonts w:ascii="Arial" w:hAnsi="Arial" w:cs="Arial"/>
        </w:rPr>
        <w:t xml:space="preserve"> listed on Appendix A</w:t>
      </w:r>
      <w:r w:rsidRPr="0060386F">
        <w:rPr>
          <w:rFonts w:ascii="Arial" w:hAnsi="Arial" w:cs="Arial"/>
        </w:rPr>
        <w:t xml:space="preserve"> to be made available to participants</w:t>
      </w:r>
      <w:r w:rsidR="004D44C4" w:rsidRPr="0060386F">
        <w:rPr>
          <w:rFonts w:ascii="Arial" w:hAnsi="Arial" w:cs="Arial"/>
        </w:rPr>
        <w:t>, as of the date listed on Appendix A</w:t>
      </w:r>
      <w:r w:rsidRPr="0060386F">
        <w:rPr>
          <w:rFonts w:ascii="Arial" w:hAnsi="Arial" w:cs="Arial"/>
        </w:rPr>
        <w:t>.</w:t>
      </w:r>
      <w:r w:rsidR="00993574" w:rsidRPr="0060386F">
        <w:rPr>
          <w:rFonts w:ascii="Arial" w:hAnsi="Arial" w:cs="Arial"/>
        </w:rPr>
        <w:t xml:space="preserve"> </w:t>
      </w:r>
      <w:r w:rsidR="00EC22E3" w:rsidRPr="0060386F">
        <w:rPr>
          <w:rFonts w:ascii="Arial" w:hAnsi="Arial" w:cs="Arial"/>
        </w:rPr>
        <w:t xml:space="preserve"> </w:t>
      </w:r>
      <w:r w:rsidR="00993574" w:rsidRPr="0060386F">
        <w:rPr>
          <w:rFonts w:ascii="Arial" w:hAnsi="Arial" w:cs="Arial"/>
        </w:rPr>
        <w:t>The Committee may update Appendix A, which shall be considered a separate document from this Investment Policy Statement, from time to time to reflect the Plan’s investment options.</w:t>
      </w:r>
      <w:r w:rsidRPr="0060386F">
        <w:rPr>
          <w:rFonts w:ascii="Arial" w:hAnsi="Arial" w:cs="Arial"/>
        </w:rPr>
        <w:t xml:space="preserve"> </w:t>
      </w:r>
      <w:r w:rsidR="00EC22E3" w:rsidRPr="0060386F">
        <w:rPr>
          <w:rFonts w:ascii="Arial" w:hAnsi="Arial" w:cs="Arial"/>
        </w:rPr>
        <w:t xml:space="preserve"> </w:t>
      </w:r>
      <w:r w:rsidRPr="0060386F">
        <w:rPr>
          <w:rFonts w:ascii="Arial" w:hAnsi="Arial" w:cs="Arial"/>
        </w:rPr>
        <w:t xml:space="preserve">Each fund’s investment objective, risks, stated benchmark, and peer group can be found in the </w:t>
      </w:r>
      <w:r w:rsidR="001B2A7A" w:rsidRPr="0060386F">
        <w:rPr>
          <w:rFonts w:ascii="Arial" w:hAnsi="Arial" w:cs="Arial"/>
        </w:rPr>
        <w:t xml:space="preserve">fund’s </w:t>
      </w:r>
      <w:r w:rsidRPr="0060386F">
        <w:rPr>
          <w:rFonts w:ascii="Arial" w:hAnsi="Arial" w:cs="Arial"/>
        </w:rPr>
        <w:t>most recent prospectus</w:t>
      </w:r>
      <w:r w:rsidR="001B2A7A" w:rsidRPr="0060386F">
        <w:rPr>
          <w:rFonts w:ascii="Arial" w:hAnsi="Arial" w:cs="Arial"/>
        </w:rPr>
        <w:t xml:space="preserve"> or similar summary document</w:t>
      </w:r>
      <w:r w:rsidR="005849B5" w:rsidRPr="0060386F">
        <w:rPr>
          <w:rFonts w:ascii="Arial" w:hAnsi="Arial" w:cs="Arial"/>
        </w:rPr>
        <w:t>.</w:t>
      </w:r>
    </w:p>
    <w:p w:rsidR="00AB1FEB" w:rsidRPr="0060386F" w:rsidRDefault="00AB1FEB" w:rsidP="00AB1FEB">
      <w:pPr>
        <w:autoSpaceDE w:val="0"/>
        <w:autoSpaceDN w:val="0"/>
        <w:adjustRightInd w:val="0"/>
        <w:rPr>
          <w:rFonts w:ascii="Arial" w:hAnsi="Arial" w:cs="Arial"/>
        </w:rPr>
      </w:pPr>
    </w:p>
    <w:p w:rsidR="00D64E8A" w:rsidRPr="0060386F" w:rsidRDefault="00D64E8A" w:rsidP="00BB26F1">
      <w:pPr>
        <w:jc w:val="both"/>
        <w:outlineLvl w:val="0"/>
        <w:rPr>
          <w:rFonts w:ascii="Arial" w:hAnsi="Arial" w:cs="Arial"/>
          <w:b/>
          <w:i/>
        </w:rPr>
      </w:pPr>
      <w:r w:rsidRPr="0060386F">
        <w:rPr>
          <w:rFonts w:ascii="Arial" w:hAnsi="Arial" w:cs="Arial"/>
          <w:b/>
          <w:i/>
        </w:rPr>
        <w:t>Selecting and Monitoring Diversified Investment Options</w:t>
      </w:r>
      <w:r w:rsidR="00E24F25" w:rsidRPr="0060386F">
        <w:rPr>
          <w:rFonts w:ascii="Arial" w:hAnsi="Arial" w:cs="Arial"/>
          <w:b/>
          <w:i/>
        </w:rPr>
        <w:t>:</w:t>
      </w:r>
    </w:p>
    <w:p w:rsidR="00D64E8A" w:rsidRPr="0060386F" w:rsidRDefault="00D64E8A" w:rsidP="00BB26F1">
      <w:pPr>
        <w:jc w:val="both"/>
        <w:outlineLvl w:val="0"/>
        <w:rPr>
          <w:rFonts w:ascii="Arial" w:hAnsi="Arial" w:cs="Arial"/>
          <w:b/>
          <w:i/>
        </w:rPr>
      </w:pPr>
    </w:p>
    <w:p w:rsidR="00D64E8A" w:rsidRPr="0060386F" w:rsidRDefault="003E1A96" w:rsidP="00BB26F1">
      <w:pPr>
        <w:jc w:val="both"/>
        <w:rPr>
          <w:rFonts w:ascii="Arial" w:hAnsi="Arial" w:cs="Arial"/>
        </w:rPr>
      </w:pPr>
      <w:r w:rsidRPr="0060386F">
        <w:rPr>
          <w:rFonts w:ascii="Arial" w:hAnsi="Arial" w:cs="Arial"/>
        </w:rPr>
        <w:t>Plan i</w:t>
      </w:r>
      <w:r w:rsidR="00D64E8A" w:rsidRPr="0060386F">
        <w:rPr>
          <w:rFonts w:ascii="Arial" w:hAnsi="Arial" w:cs="Arial"/>
        </w:rPr>
        <w:t xml:space="preserve">nvestment options will be </w:t>
      </w:r>
      <w:r w:rsidRPr="0060386F">
        <w:rPr>
          <w:rFonts w:ascii="Arial" w:hAnsi="Arial" w:cs="Arial"/>
        </w:rPr>
        <w:t xml:space="preserve">selected and monitored </w:t>
      </w:r>
      <w:r w:rsidR="00D64E8A" w:rsidRPr="0060386F">
        <w:rPr>
          <w:rFonts w:ascii="Arial" w:hAnsi="Arial" w:cs="Arial"/>
        </w:rPr>
        <w:t>in a manner consistent with generally accepted standards of fiduciary responsibility</w:t>
      </w:r>
      <w:r w:rsidRPr="0060386F">
        <w:rPr>
          <w:rFonts w:ascii="Arial" w:hAnsi="Arial" w:cs="Arial"/>
        </w:rPr>
        <w:t>,</w:t>
      </w:r>
      <w:r w:rsidR="00D64E8A" w:rsidRPr="0060386F">
        <w:rPr>
          <w:rFonts w:ascii="Arial" w:hAnsi="Arial" w:cs="Arial"/>
        </w:rPr>
        <w:t xml:space="preserve"> with the skill, care and diligence of a prudent person in such capacity and in accordance with ERISA and other applicable laws. All </w:t>
      </w:r>
      <w:r w:rsidRPr="0060386F">
        <w:rPr>
          <w:rFonts w:ascii="Arial" w:hAnsi="Arial" w:cs="Arial"/>
        </w:rPr>
        <w:t xml:space="preserve">Plan </w:t>
      </w:r>
      <w:r w:rsidR="00D64E8A" w:rsidRPr="0060386F">
        <w:rPr>
          <w:rFonts w:ascii="Arial" w:hAnsi="Arial" w:cs="Arial"/>
        </w:rPr>
        <w:t>determinations will be for the sole benefit of the participants and beneficiaries in the Plan.</w:t>
      </w:r>
    </w:p>
    <w:p w:rsidR="00D64E8A" w:rsidRPr="0060386F" w:rsidRDefault="00D64E8A" w:rsidP="00BB26F1">
      <w:pPr>
        <w:jc w:val="both"/>
        <w:rPr>
          <w:rFonts w:ascii="Arial" w:hAnsi="Arial" w:cs="Arial"/>
        </w:rPr>
      </w:pPr>
    </w:p>
    <w:p w:rsidR="00D64E8A" w:rsidRPr="0060386F" w:rsidRDefault="00BD5566" w:rsidP="00BB26F1">
      <w:pPr>
        <w:jc w:val="both"/>
        <w:outlineLvl w:val="0"/>
        <w:rPr>
          <w:rFonts w:ascii="Arial" w:hAnsi="Arial" w:cs="Arial"/>
        </w:rPr>
      </w:pPr>
      <w:bookmarkStart w:id="3" w:name="OLE_LINK1"/>
      <w:bookmarkStart w:id="4" w:name="OLE_LINK2"/>
      <w:r w:rsidRPr="0060386F">
        <w:rPr>
          <w:rFonts w:ascii="Arial" w:hAnsi="Arial" w:cs="Arial"/>
        </w:rPr>
        <w:t>The Committee will monitor Plan investment options and will add, remove or change investment managers or options as may be appropriate. The Committee considers a number of qualitative and quantitative factors when selecting and monitoring any investment option.  The Committee will focus its evaluation on long-term issues related to the management of the fund, both qualitative and quantitative. Qualitative factors may include fundamental changes in a fund manager’s investment philosophy, organizational structure (e.g., manager tenure), and financial condition (including any significant changes in total assets under management).  Quantitative factors may include adherence to fund objectives, performance, and expenses as detailed below.  With regard to performance evaluation, the Committee will continually monitor the funds’ benchmarks to ensure that they are the most appropriate for comparison purposes. No single factor will determine whether an investment option should be added, retained, or eliminated; however, certain factors may carry more weight in the Committee’s final analysis.</w:t>
      </w:r>
    </w:p>
    <w:bookmarkEnd w:id="3"/>
    <w:bookmarkEnd w:id="4"/>
    <w:p w:rsidR="00BD5566" w:rsidRPr="0060386F" w:rsidRDefault="00BD5566" w:rsidP="00BB26F1">
      <w:pPr>
        <w:jc w:val="both"/>
        <w:outlineLvl w:val="0"/>
        <w:rPr>
          <w:rFonts w:ascii="Arial" w:hAnsi="Arial" w:cs="Arial"/>
          <w:b/>
          <w:u w:val="single"/>
        </w:rPr>
      </w:pPr>
    </w:p>
    <w:p w:rsidR="00962C5A" w:rsidRPr="0060386F" w:rsidRDefault="00962C5A" w:rsidP="00962C5A">
      <w:pPr>
        <w:jc w:val="both"/>
        <w:rPr>
          <w:rFonts w:ascii="Arial" w:hAnsi="Arial" w:cs="Arial"/>
        </w:rPr>
      </w:pPr>
      <w:bookmarkStart w:id="5" w:name="OLE_LINK6"/>
      <w:r w:rsidRPr="0060386F">
        <w:rPr>
          <w:rFonts w:ascii="Arial" w:hAnsi="Arial" w:cs="Arial"/>
        </w:rPr>
        <w:t>The Committee</w:t>
      </w:r>
      <w:r w:rsidR="00635249" w:rsidRPr="0060386F">
        <w:rPr>
          <w:rFonts w:ascii="Arial" w:hAnsi="Arial" w:cs="Arial"/>
        </w:rPr>
        <w:t xml:space="preserve"> will evaluate investments </w:t>
      </w:r>
      <w:r w:rsidR="00993574" w:rsidRPr="0060386F">
        <w:rPr>
          <w:rFonts w:ascii="Arial" w:hAnsi="Arial" w:cs="Arial"/>
        </w:rPr>
        <w:t xml:space="preserve">based on </w:t>
      </w:r>
      <w:r w:rsidR="00635249" w:rsidRPr="0060386F">
        <w:rPr>
          <w:rFonts w:ascii="Arial" w:hAnsi="Arial" w:cs="Arial"/>
        </w:rPr>
        <w:t xml:space="preserve">two </w:t>
      </w:r>
      <w:r w:rsidR="00993574" w:rsidRPr="0060386F">
        <w:rPr>
          <w:rFonts w:ascii="Arial" w:hAnsi="Arial" w:cs="Arial"/>
        </w:rPr>
        <w:t>sets of criteria</w:t>
      </w:r>
      <w:r w:rsidRPr="0060386F">
        <w:rPr>
          <w:rFonts w:ascii="Arial" w:hAnsi="Arial" w:cs="Arial"/>
        </w:rPr>
        <w:t xml:space="preserve">: criteria </w:t>
      </w:r>
      <w:r w:rsidR="00993574" w:rsidRPr="0060386F">
        <w:rPr>
          <w:rFonts w:ascii="Arial" w:hAnsi="Arial" w:cs="Arial"/>
        </w:rPr>
        <w:t>applicable to all</w:t>
      </w:r>
      <w:r w:rsidRPr="0060386F">
        <w:rPr>
          <w:rFonts w:ascii="Arial" w:hAnsi="Arial" w:cs="Arial"/>
        </w:rPr>
        <w:t xml:space="preserve"> Plan investment </w:t>
      </w:r>
      <w:r w:rsidR="00993574" w:rsidRPr="0060386F">
        <w:rPr>
          <w:rFonts w:ascii="Arial" w:hAnsi="Arial" w:cs="Arial"/>
        </w:rPr>
        <w:t>options</w:t>
      </w:r>
      <w:r w:rsidRPr="0060386F">
        <w:rPr>
          <w:rFonts w:ascii="Arial" w:hAnsi="Arial" w:cs="Arial"/>
        </w:rPr>
        <w:t>, and additional criteria that are spec</w:t>
      </w:r>
      <w:r w:rsidR="00E803AD" w:rsidRPr="0060386F">
        <w:rPr>
          <w:rFonts w:ascii="Arial" w:hAnsi="Arial" w:cs="Arial"/>
        </w:rPr>
        <w:t xml:space="preserve">ific to </w:t>
      </w:r>
      <w:r w:rsidR="00993574" w:rsidRPr="0060386F">
        <w:rPr>
          <w:rFonts w:ascii="Arial" w:hAnsi="Arial" w:cs="Arial"/>
        </w:rPr>
        <w:t>certain types of</w:t>
      </w:r>
      <w:r w:rsidR="00E803AD" w:rsidRPr="0060386F">
        <w:rPr>
          <w:rFonts w:ascii="Arial" w:hAnsi="Arial" w:cs="Arial"/>
        </w:rPr>
        <w:t xml:space="preserve"> investment</w:t>
      </w:r>
      <w:r w:rsidR="00993574" w:rsidRPr="0060386F">
        <w:rPr>
          <w:rFonts w:ascii="Arial" w:hAnsi="Arial" w:cs="Arial"/>
        </w:rPr>
        <w:t>s</w:t>
      </w:r>
      <w:r w:rsidR="00E803AD" w:rsidRPr="0060386F">
        <w:rPr>
          <w:rFonts w:ascii="Arial" w:hAnsi="Arial" w:cs="Arial"/>
        </w:rPr>
        <w:t xml:space="preserve">.  </w:t>
      </w:r>
      <w:r w:rsidRPr="0060386F">
        <w:rPr>
          <w:rFonts w:ascii="Arial" w:hAnsi="Arial" w:cs="Arial"/>
        </w:rPr>
        <w:t xml:space="preserve">Outlined below are examples of factors the Committee may use to </w:t>
      </w:r>
      <w:r w:rsidR="00C27D23" w:rsidRPr="0060386F">
        <w:rPr>
          <w:rFonts w:ascii="Arial" w:hAnsi="Arial" w:cs="Arial"/>
        </w:rPr>
        <w:t xml:space="preserve">select and </w:t>
      </w:r>
      <w:r w:rsidRPr="0060386F">
        <w:rPr>
          <w:rFonts w:ascii="Arial" w:hAnsi="Arial" w:cs="Arial"/>
        </w:rPr>
        <w:t>monitor the Plan’s investment options.</w:t>
      </w:r>
    </w:p>
    <w:bookmarkEnd w:id="5"/>
    <w:p w:rsidR="00E15824" w:rsidRPr="0060386F" w:rsidRDefault="00E15824">
      <w:pPr>
        <w:rPr>
          <w:rFonts w:ascii="Arial" w:hAnsi="Arial" w:cs="Arial"/>
        </w:rPr>
      </w:pPr>
      <w:r w:rsidRPr="0060386F">
        <w:rPr>
          <w:rFonts w:ascii="Arial" w:hAnsi="Arial" w:cs="Arial"/>
        </w:rPr>
        <w:br w:type="page"/>
      </w:r>
    </w:p>
    <w:p w:rsidR="00962C5A" w:rsidRPr="0060386F" w:rsidRDefault="00962C5A" w:rsidP="00962C5A">
      <w:pPr>
        <w:jc w:val="both"/>
        <w:rPr>
          <w:rFonts w:ascii="Arial" w:hAnsi="Arial" w:cs="Arial"/>
        </w:rPr>
      </w:pPr>
    </w:p>
    <w:p w:rsidR="00962C5A" w:rsidRPr="0060386F" w:rsidRDefault="00793F1B" w:rsidP="00962C5A">
      <w:pPr>
        <w:jc w:val="both"/>
        <w:rPr>
          <w:rFonts w:ascii="Arial" w:hAnsi="Arial" w:cs="Arial"/>
          <w:b/>
        </w:rPr>
      </w:pPr>
      <w:bookmarkStart w:id="6" w:name="OLE_LINK5"/>
      <w:bookmarkStart w:id="7" w:name="OLE_LINK4"/>
      <w:bookmarkStart w:id="8" w:name="OLE_LINK26"/>
      <w:bookmarkStart w:id="9" w:name="OLE_LINK23"/>
      <w:r w:rsidRPr="0060386F">
        <w:rPr>
          <w:rFonts w:ascii="Arial" w:hAnsi="Arial" w:cs="Arial"/>
          <w:b/>
        </w:rPr>
        <w:t>Criteria for evaluating an investment line-up:</w:t>
      </w:r>
    </w:p>
    <w:p w:rsidR="00962C5A" w:rsidRPr="0060386F" w:rsidRDefault="00793F1B" w:rsidP="00962C5A">
      <w:pPr>
        <w:pStyle w:val="ListParagraph"/>
        <w:numPr>
          <w:ilvl w:val="0"/>
          <w:numId w:val="33"/>
        </w:numPr>
        <w:jc w:val="both"/>
        <w:rPr>
          <w:rFonts w:ascii="Arial" w:hAnsi="Arial" w:cs="Arial"/>
        </w:rPr>
      </w:pPr>
      <w:bookmarkStart w:id="10" w:name="OLE_LINK32"/>
      <w:bookmarkStart w:id="11" w:name="OLE_LINK33"/>
      <w:r w:rsidRPr="0060386F">
        <w:rPr>
          <w:rFonts w:ascii="Arial" w:hAnsi="Arial" w:cs="Arial"/>
        </w:rPr>
        <w:t>The ability to construct a diversified portfolio with the Plan’s investment offerings</w:t>
      </w:r>
      <w:bookmarkEnd w:id="10"/>
      <w:bookmarkEnd w:id="11"/>
    </w:p>
    <w:p w:rsidR="00635249" w:rsidRPr="0060386F" w:rsidRDefault="00842F42" w:rsidP="00962C5A">
      <w:pPr>
        <w:pStyle w:val="ListParagraph"/>
        <w:numPr>
          <w:ilvl w:val="0"/>
          <w:numId w:val="33"/>
        </w:numPr>
        <w:jc w:val="both"/>
        <w:rPr>
          <w:rFonts w:ascii="Arial" w:hAnsi="Arial" w:cs="Arial"/>
        </w:rPr>
      </w:pPr>
      <w:r w:rsidRPr="0060386F">
        <w:rPr>
          <w:rFonts w:ascii="Arial" w:hAnsi="Arial" w:cs="Arial"/>
        </w:rPr>
        <w:t>Reasonableness of investment costs for the services provided which may include expense ratios, revenue sharing agreements, and portfolio turnover</w:t>
      </w:r>
    </w:p>
    <w:p w:rsidR="00635249" w:rsidRPr="0060386F" w:rsidRDefault="00842F42" w:rsidP="00635249">
      <w:pPr>
        <w:pStyle w:val="ListParagraph"/>
        <w:numPr>
          <w:ilvl w:val="0"/>
          <w:numId w:val="33"/>
        </w:numPr>
        <w:jc w:val="both"/>
        <w:outlineLvl w:val="0"/>
        <w:rPr>
          <w:rFonts w:ascii="Arial" w:hAnsi="Arial" w:cs="Arial"/>
        </w:rPr>
      </w:pPr>
      <w:r w:rsidRPr="0060386F">
        <w:rPr>
          <w:rFonts w:ascii="Arial" w:hAnsi="Arial" w:cs="Arial"/>
        </w:rPr>
        <w:t>Performance:</w:t>
      </w:r>
    </w:p>
    <w:p w:rsidR="00635249" w:rsidRPr="0060386F" w:rsidRDefault="00842F42" w:rsidP="00635249">
      <w:pPr>
        <w:pStyle w:val="ListParagraph"/>
        <w:numPr>
          <w:ilvl w:val="1"/>
          <w:numId w:val="33"/>
        </w:numPr>
        <w:jc w:val="both"/>
        <w:outlineLvl w:val="0"/>
        <w:rPr>
          <w:rFonts w:ascii="Arial" w:hAnsi="Arial" w:cs="Arial"/>
        </w:rPr>
      </w:pPr>
      <w:r w:rsidRPr="0060386F">
        <w:rPr>
          <w:rFonts w:ascii="Arial" w:hAnsi="Arial" w:cs="Arial"/>
        </w:rPr>
        <w:t>Three-, five-, and ten-year returns</w:t>
      </w:r>
    </w:p>
    <w:p w:rsidR="00962C5A" w:rsidRPr="0060386F" w:rsidRDefault="00962C5A" w:rsidP="00962C5A">
      <w:pPr>
        <w:jc w:val="both"/>
        <w:rPr>
          <w:rFonts w:ascii="Arial" w:hAnsi="Arial" w:cs="Arial"/>
        </w:rPr>
      </w:pPr>
    </w:p>
    <w:p w:rsidR="00A4106A" w:rsidRPr="0060386F" w:rsidRDefault="00793F1B">
      <w:pPr>
        <w:jc w:val="both"/>
        <w:rPr>
          <w:rFonts w:ascii="Arial" w:hAnsi="Arial" w:cs="Arial"/>
          <w:b/>
        </w:rPr>
      </w:pPr>
      <w:bookmarkStart w:id="12" w:name="OLE_LINK25"/>
      <w:r w:rsidRPr="0060386F">
        <w:rPr>
          <w:rFonts w:ascii="Arial" w:hAnsi="Arial" w:cs="Arial"/>
          <w:b/>
        </w:rPr>
        <w:t>Target retirement funds:</w:t>
      </w:r>
      <w:bookmarkEnd w:id="12"/>
    </w:p>
    <w:p w:rsidR="00962C5A" w:rsidRPr="0060386F" w:rsidRDefault="00793F1B" w:rsidP="00962C5A">
      <w:pPr>
        <w:pStyle w:val="ListParagraph"/>
        <w:numPr>
          <w:ilvl w:val="0"/>
          <w:numId w:val="34"/>
        </w:numPr>
        <w:jc w:val="both"/>
        <w:rPr>
          <w:rFonts w:ascii="Arial" w:hAnsi="Arial" w:cs="Arial"/>
        </w:rPr>
      </w:pPr>
      <w:r w:rsidRPr="0060386F">
        <w:rPr>
          <w:rFonts w:ascii="Arial" w:hAnsi="Arial" w:cs="Arial"/>
        </w:rPr>
        <w:t xml:space="preserve">The underlying composition or glide path of funds </w:t>
      </w:r>
    </w:p>
    <w:p w:rsidR="00A53BFC" w:rsidRPr="0060386F" w:rsidRDefault="00793F1B" w:rsidP="00962C5A">
      <w:pPr>
        <w:pStyle w:val="ListParagraph"/>
        <w:numPr>
          <w:ilvl w:val="0"/>
          <w:numId w:val="34"/>
        </w:numPr>
        <w:jc w:val="both"/>
        <w:rPr>
          <w:rFonts w:ascii="Arial" w:hAnsi="Arial" w:cs="Arial"/>
        </w:rPr>
      </w:pPr>
      <w:r w:rsidRPr="0060386F">
        <w:rPr>
          <w:rFonts w:ascii="Arial" w:hAnsi="Arial" w:cs="Arial"/>
        </w:rPr>
        <w:t>Changes in the demographics of the plan to consider whether glide path is reasonable for participants</w:t>
      </w:r>
    </w:p>
    <w:p w:rsidR="00842F42" w:rsidRPr="0060386F" w:rsidRDefault="00842F42" w:rsidP="00842F42">
      <w:pPr>
        <w:pStyle w:val="ListParagraph"/>
        <w:numPr>
          <w:ilvl w:val="0"/>
          <w:numId w:val="34"/>
        </w:numPr>
        <w:jc w:val="both"/>
        <w:rPr>
          <w:rFonts w:ascii="Arial" w:hAnsi="Arial" w:cs="Arial"/>
        </w:rPr>
      </w:pPr>
      <w:r w:rsidRPr="0060386F">
        <w:rPr>
          <w:rFonts w:ascii="Arial" w:hAnsi="Arial" w:cs="Arial"/>
        </w:rPr>
        <w:t>Relative performance to stated benchmark and peer group</w:t>
      </w:r>
    </w:p>
    <w:p w:rsidR="00A4106A" w:rsidRPr="0060386F" w:rsidRDefault="00A4106A">
      <w:pPr>
        <w:ind w:left="1080"/>
        <w:jc w:val="both"/>
        <w:rPr>
          <w:rFonts w:ascii="Arial" w:hAnsi="Arial" w:cs="Arial"/>
        </w:rPr>
      </w:pPr>
    </w:p>
    <w:p w:rsidR="00842F42" w:rsidRPr="0060386F" w:rsidRDefault="00842F42" w:rsidP="00842F42">
      <w:pPr>
        <w:rPr>
          <w:rFonts w:ascii="Arial" w:hAnsi="Arial" w:cs="Arial"/>
          <w:b/>
        </w:rPr>
      </w:pPr>
      <w:r w:rsidRPr="0060386F">
        <w:rPr>
          <w:rFonts w:ascii="Arial" w:hAnsi="Arial" w:cs="Arial"/>
          <w:b/>
        </w:rPr>
        <w:t>Passively managed funds:</w:t>
      </w:r>
    </w:p>
    <w:p w:rsidR="00842F42" w:rsidRPr="0060386F" w:rsidRDefault="00842F42" w:rsidP="00842F42">
      <w:pPr>
        <w:pStyle w:val="ListParagraph"/>
        <w:numPr>
          <w:ilvl w:val="0"/>
          <w:numId w:val="44"/>
        </w:numPr>
        <w:rPr>
          <w:rFonts w:ascii="Arial" w:hAnsi="Arial" w:cs="Arial"/>
        </w:rPr>
      </w:pPr>
      <w:r w:rsidRPr="0060386F">
        <w:rPr>
          <w:rFonts w:ascii="Arial" w:hAnsi="Arial" w:cs="Arial"/>
        </w:rPr>
        <w:t>The fund’s ability to successfully track its stated benchmark (tracking error)</w:t>
      </w:r>
    </w:p>
    <w:p w:rsidR="00A4106A" w:rsidRPr="0060386F" w:rsidRDefault="00A4106A">
      <w:pPr>
        <w:rPr>
          <w:rFonts w:ascii="Arial" w:hAnsi="Arial" w:cs="Arial"/>
          <w:b/>
        </w:rPr>
      </w:pPr>
      <w:bookmarkStart w:id="13" w:name="OLE_LINK22"/>
      <w:bookmarkStart w:id="14" w:name="OLE_LINK18"/>
    </w:p>
    <w:bookmarkEnd w:id="13"/>
    <w:bookmarkEnd w:id="14"/>
    <w:p w:rsidR="00962C5A" w:rsidRPr="0060386F" w:rsidRDefault="00842F42" w:rsidP="00962C5A">
      <w:pPr>
        <w:pStyle w:val="ListParagraph"/>
        <w:ind w:left="0"/>
        <w:jc w:val="both"/>
        <w:rPr>
          <w:rFonts w:ascii="Arial" w:hAnsi="Arial" w:cs="Arial"/>
          <w:b/>
        </w:rPr>
      </w:pPr>
      <w:r w:rsidRPr="0060386F">
        <w:rPr>
          <w:rFonts w:ascii="Arial" w:hAnsi="Arial" w:cs="Arial"/>
          <w:b/>
        </w:rPr>
        <w:t>Actively managed funds:</w:t>
      </w:r>
    </w:p>
    <w:p w:rsidR="00962C5A" w:rsidRPr="0060386F" w:rsidRDefault="00842F42" w:rsidP="00962C5A">
      <w:pPr>
        <w:pStyle w:val="ListParagraph"/>
        <w:numPr>
          <w:ilvl w:val="0"/>
          <w:numId w:val="34"/>
        </w:numPr>
        <w:jc w:val="both"/>
        <w:outlineLvl w:val="0"/>
        <w:rPr>
          <w:rFonts w:ascii="Arial" w:hAnsi="Arial" w:cs="Arial"/>
        </w:rPr>
      </w:pPr>
      <w:r w:rsidRPr="0060386F">
        <w:rPr>
          <w:rFonts w:ascii="Arial" w:hAnsi="Arial" w:cs="Arial"/>
        </w:rPr>
        <w:t>The investment manager’s tenure, philosophy, and process</w:t>
      </w:r>
    </w:p>
    <w:p w:rsidR="00A53BFC" w:rsidRPr="0060386F" w:rsidRDefault="00842F42" w:rsidP="00A53BFC">
      <w:pPr>
        <w:pStyle w:val="ListParagraph"/>
        <w:numPr>
          <w:ilvl w:val="0"/>
          <w:numId w:val="34"/>
        </w:numPr>
        <w:rPr>
          <w:rFonts w:ascii="Arial" w:hAnsi="Arial" w:cs="Arial"/>
        </w:rPr>
      </w:pPr>
      <w:bookmarkStart w:id="15" w:name="OLE_LINK36"/>
      <w:bookmarkStart w:id="16" w:name="OLE_LINK35"/>
      <w:r w:rsidRPr="0060386F">
        <w:rPr>
          <w:rFonts w:ascii="Arial" w:hAnsi="Arial" w:cs="Arial"/>
        </w:rPr>
        <w:t>Relative performance to stated benchmark and peer group</w:t>
      </w:r>
      <w:bookmarkEnd w:id="15"/>
      <w:bookmarkEnd w:id="16"/>
    </w:p>
    <w:p w:rsidR="00962C5A" w:rsidRPr="0060386F" w:rsidRDefault="00962C5A" w:rsidP="00962C5A">
      <w:pPr>
        <w:pStyle w:val="ListParagraph"/>
        <w:rPr>
          <w:rFonts w:ascii="Arial" w:hAnsi="Arial" w:cs="Arial"/>
        </w:rPr>
      </w:pPr>
    </w:p>
    <w:p w:rsidR="00962C5A" w:rsidRPr="0060386F" w:rsidRDefault="00842F42" w:rsidP="00962C5A">
      <w:pPr>
        <w:jc w:val="both"/>
        <w:outlineLvl w:val="0"/>
        <w:rPr>
          <w:rFonts w:ascii="Arial" w:hAnsi="Arial" w:cs="Arial"/>
          <w:b/>
        </w:rPr>
      </w:pPr>
      <w:r w:rsidRPr="0060386F">
        <w:rPr>
          <w:rFonts w:ascii="Arial" w:hAnsi="Arial" w:cs="Arial"/>
          <w:b/>
        </w:rPr>
        <w:t>Exchange traded funds (ETFs):</w:t>
      </w:r>
    </w:p>
    <w:p w:rsidR="00962C5A" w:rsidRPr="0060386F" w:rsidRDefault="00842F42" w:rsidP="00962C5A">
      <w:pPr>
        <w:pStyle w:val="ListParagraph"/>
        <w:numPr>
          <w:ilvl w:val="0"/>
          <w:numId w:val="35"/>
        </w:numPr>
        <w:jc w:val="both"/>
        <w:outlineLvl w:val="0"/>
        <w:rPr>
          <w:rFonts w:ascii="Arial" w:hAnsi="Arial" w:cs="Arial"/>
          <w:b/>
        </w:rPr>
      </w:pPr>
      <w:r w:rsidRPr="0060386F">
        <w:rPr>
          <w:rFonts w:ascii="Arial" w:hAnsi="Arial" w:cs="Arial"/>
        </w:rPr>
        <w:t>Reasonableness of the all-in investment costs incorporating trading commissions and expenses relative to comparable mutual funds</w:t>
      </w:r>
    </w:p>
    <w:p w:rsidR="00A53BFC" w:rsidRPr="0060386F" w:rsidRDefault="00842F42" w:rsidP="00A53BFC">
      <w:pPr>
        <w:pStyle w:val="ListParagraph"/>
        <w:numPr>
          <w:ilvl w:val="0"/>
          <w:numId w:val="35"/>
        </w:numPr>
        <w:rPr>
          <w:rFonts w:ascii="Arial" w:hAnsi="Arial" w:cs="Arial"/>
          <w:b/>
          <w:i/>
        </w:rPr>
      </w:pPr>
      <w:r w:rsidRPr="0060386F">
        <w:rPr>
          <w:rFonts w:ascii="Arial" w:hAnsi="Arial" w:cs="Arial"/>
        </w:rPr>
        <w:t>The ETF’s ability to successfully track its stated benchmark (tracking error)</w:t>
      </w:r>
    </w:p>
    <w:p w:rsidR="00842F42" w:rsidRPr="0060386F" w:rsidRDefault="00842F42" w:rsidP="00842F42">
      <w:pPr>
        <w:pStyle w:val="ListParagraph"/>
        <w:jc w:val="both"/>
        <w:outlineLvl w:val="0"/>
        <w:rPr>
          <w:rFonts w:ascii="Arial" w:hAnsi="Arial" w:cs="Arial"/>
          <w:b/>
        </w:rPr>
      </w:pPr>
    </w:p>
    <w:bookmarkEnd w:id="6"/>
    <w:bookmarkEnd w:id="7"/>
    <w:bookmarkEnd w:id="8"/>
    <w:bookmarkEnd w:id="9"/>
    <w:p w:rsidR="00A4106A" w:rsidRPr="0060386F" w:rsidRDefault="00A4106A">
      <w:pPr>
        <w:rPr>
          <w:rFonts w:ascii="Arial" w:hAnsi="Arial" w:cs="Arial"/>
        </w:rPr>
      </w:pPr>
    </w:p>
    <w:p w:rsidR="00A4106A" w:rsidRPr="0060386F" w:rsidRDefault="00842F42">
      <w:pPr>
        <w:pStyle w:val="Heading1"/>
        <w:rPr>
          <w:rFonts w:ascii="Arial" w:hAnsi="Arial" w:cs="Arial"/>
          <w:sz w:val="20"/>
        </w:rPr>
      </w:pPr>
      <w:bookmarkStart w:id="17" w:name="OLE_LINK21"/>
      <w:bookmarkStart w:id="18" w:name="OLE_LINK24"/>
      <w:bookmarkStart w:id="19" w:name="OLE_LINK9"/>
      <w:bookmarkStart w:id="20" w:name="OLE_LINK10"/>
      <w:bookmarkStart w:id="21" w:name="OLE_LINK15"/>
      <w:r w:rsidRPr="0060386F">
        <w:rPr>
          <w:rFonts w:ascii="Arial" w:hAnsi="Arial" w:cs="Arial"/>
          <w:sz w:val="20"/>
        </w:rPr>
        <w:t xml:space="preserve">Establishing a Default Fund </w:t>
      </w:r>
    </w:p>
    <w:p w:rsidR="00D64E8A" w:rsidRPr="0060386F" w:rsidRDefault="00D64E8A" w:rsidP="00BB26F1">
      <w:pPr>
        <w:jc w:val="both"/>
        <w:rPr>
          <w:rFonts w:ascii="Arial" w:hAnsi="Arial" w:cs="Arial"/>
        </w:rPr>
      </w:pPr>
    </w:p>
    <w:p w:rsidR="00D64E8A" w:rsidRPr="0060386F" w:rsidRDefault="00D64E8A" w:rsidP="00BB26F1">
      <w:pPr>
        <w:autoSpaceDE w:val="0"/>
        <w:autoSpaceDN w:val="0"/>
        <w:adjustRightInd w:val="0"/>
        <w:jc w:val="both"/>
        <w:rPr>
          <w:rFonts w:ascii="Arial" w:hAnsi="Arial" w:cs="Arial"/>
        </w:rPr>
      </w:pPr>
      <w:r w:rsidRPr="0060386F">
        <w:rPr>
          <w:rFonts w:ascii="Arial" w:hAnsi="Arial" w:cs="Arial"/>
        </w:rPr>
        <w:t>The Committee will establish a default fund to allocate contributions to the Plan when a participant fails to make an investment selection for elective contributions or employer contributions, or for when a participant is automatically enrolled in the Plan</w:t>
      </w:r>
      <w:r w:rsidR="00635249" w:rsidRPr="0060386F">
        <w:rPr>
          <w:rFonts w:ascii="Arial" w:hAnsi="Arial" w:cs="Arial"/>
        </w:rPr>
        <w:t xml:space="preserve"> and does not make an affirmative investment election</w:t>
      </w:r>
      <w:r w:rsidRPr="0060386F">
        <w:rPr>
          <w:rFonts w:ascii="Arial" w:hAnsi="Arial" w:cs="Arial"/>
        </w:rPr>
        <w:t>.</w:t>
      </w:r>
      <w:r w:rsidR="00591EEA" w:rsidRPr="0060386F">
        <w:rPr>
          <w:rFonts w:ascii="Arial" w:hAnsi="Arial" w:cs="Arial"/>
        </w:rPr>
        <w:t xml:space="preserve"> </w:t>
      </w:r>
      <w:bookmarkStart w:id="22" w:name="OLE_LINK7"/>
      <w:bookmarkStart w:id="23" w:name="OLE_LINK8"/>
      <w:r w:rsidRPr="0060386F">
        <w:rPr>
          <w:rFonts w:ascii="Arial" w:hAnsi="Arial" w:cs="Arial"/>
        </w:rPr>
        <w:t xml:space="preserve">In selecting a default fund, the Committee </w:t>
      </w:r>
      <w:bookmarkEnd w:id="22"/>
      <w:bookmarkEnd w:id="23"/>
      <w:r w:rsidRPr="0060386F">
        <w:rPr>
          <w:rFonts w:ascii="Arial" w:hAnsi="Arial" w:cs="Arial"/>
        </w:rPr>
        <w:t xml:space="preserve">intends that such selection will comply with </w:t>
      </w:r>
      <w:r w:rsidR="003E1A96" w:rsidRPr="0060386F">
        <w:rPr>
          <w:rFonts w:ascii="Arial" w:hAnsi="Arial" w:cs="Arial"/>
        </w:rPr>
        <w:t xml:space="preserve">section </w:t>
      </w:r>
      <w:r w:rsidRPr="0060386F">
        <w:rPr>
          <w:rFonts w:ascii="Arial" w:hAnsi="Arial" w:cs="Arial"/>
        </w:rPr>
        <w:t>404(c</w:t>
      </w:r>
      <w:proofErr w:type="gramStart"/>
      <w:r w:rsidRPr="0060386F">
        <w:rPr>
          <w:rFonts w:ascii="Arial" w:hAnsi="Arial" w:cs="Arial"/>
        </w:rPr>
        <w:t>)(</w:t>
      </w:r>
      <w:proofErr w:type="gramEnd"/>
      <w:r w:rsidRPr="0060386F">
        <w:rPr>
          <w:rFonts w:ascii="Arial" w:hAnsi="Arial" w:cs="Arial"/>
        </w:rPr>
        <w:t xml:space="preserve">5) of ERISA and the regulations thereunder as a qualified default investment alternative (“QDIA”). </w:t>
      </w:r>
    </w:p>
    <w:p w:rsidR="00D64E8A" w:rsidRPr="0060386F" w:rsidRDefault="00D64E8A" w:rsidP="00BB26F1">
      <w:pPr>
        <w:jc w:val="both"/>
        <w:rPr>
          <w:rFonts w:ascii="Arial" w:hAnsi="Arial" w:cs="Arial"/>
        </w:rPr>
      </w:pPr>
    </w:p>
    <w:p w:rsidR="00D64E8A" w:rsidRPr="0060386F" w:rsidRDefault="00D64E8A" w:rsidP="00BB26F1">
      <w:pPr>
        <w:autoSpaceDE w:val="0"/>
        <w:autoSpaceDN w:val="0"/>
        <w:adjustRightInd w:val="0"/>
        <w:jc w:val="both"/>
        <w:rPr>
          <w:rFonts w:ascii="Arial" w:hAnsi="Arial" w:cs="Arial"/>
        </w:rPr>
      </w:pPr>
      <w:r w:rsidRPr="0060386F">
        <w:rPr>
          <w:rFonts w:ascii="Arial" w:hAnsi="Arial" w:cs="Arial"/>
        </w:rPr>
        <w:t>The Committee will select a default fund and invest Plan assets for which participants have not provided investment instructions in accordance with Section 404(c)(5) of ERISA and Department of Labor Regulation section 2550.404c-5. Accordingly, the Committee is not required to invest in “safe” assets that protect principal, and the law permits fiduciaries to invest in assets that may experience short-term losses in pursuit of long-term returns.</w:t>
      </w:r>
    </w:p>
    <w:p w:rsidR="00D64E8A" w:rsidRPr="0060386F" w:rsidRDefault="00D64E8A" w:rsidP="00BB26F1">
      <w:pPr>
        <w:jc w:val="both"/>
        <w:rPr>
          <w:rFonts w:ascii="Arial" w:hAnsi="Arial" w:cs="Arial"/>
        </w:rPr>
      </w:pPr>
    </w:p>
    <w:p w:rsidR="00D64E8A" w:rsidRPr="0060386F" w:rsidRDefault="00D64E8A" w:rsidP="00BB26F1">
      <w:pPr>
        <w:jc w:val="both"/>
        <w:rPr>
          <w:rFonts w:ascii="Arial" w:hAnsi="Arial" w:cs="Arial"/>
        </w:rPr>
      </w:pPr>
      <w:bookmarkStart w:id="24" w:name="OLE_LINK41"/>
      <w:bookmarkStart w:id="25" w:name="OLE_LINK42"/>
      <w:r w:rsidRPr="0060386F">
        <w:rPr>
          <w:rFonts w:ascii="Arial" w:hAnsi="Arial" w:cs="Arial"/>
        </w:rPr>
        <w:t xml:space="preserve">In order to determine the appropriate default fund, the Committee will: </w:t>
      </w:r>
    </w:p>
    <w:p w:rsidR="00D64E8A" w:rsidRPr="0060386F" w:rsidRDefault="00D64E8A" w:rsidP="00BB26F1">
      <w:pPr>
        <w:jc w:val="both"/>
        <w:rPr>
          <w:rFonts w:ascii="Arial" w:hAnsi="Arial" w:cs="Arial"/>
        </w:rPr>
      </w:pPr>
    </w:p>
    <w:p w:rsidR="00D64E8A" w:rsidRPr="0060386F" w:rsidRDefault="00D64E8A" w:rsidP="00F0001D">
      <w:pPr>
        <w:numPr>
          <w:ilvl w:val="0"/>
          <w:numId w:val="28"/>
        </w:numPr>
        <w:tabs>
          <w:tab w:val="clear" w:pos="360"/>
          <w:tab w:val="num" w:pos="720"/>
        </w:tabs>
        <w:ind w:left="1080"/>
        <w:jc w:val="both"/>
        <w:rPr>
          <w:rFonts w:ascii="Arial" w:hAnsi="Arial" w:cs="Arial"/>
        </w:rPr>
      </w:pPr>
      <w:r w:rsidRPr="0060386F">
        <w:rPr>
          <w:rFonts w:ascii="Arial" w:hAnsi="Arial" w:cs="Arial"/>
        </w:rPr>
        <w:t>Evaluate the objectives of the Plan;</w:t>
      </w:r>
    </w:p>
    <w:p w:rsidR="00D64E8A" w:rsidRPr="0060386F" w:rsidRDefault="00993574" w:rsidP="00F0001D">
      <w:pPr>
        <w:numPr>
          <w:ilvl w:val="0"/>
          <w:numId w:val="28"/>
        </w:numPr>
        <w:tabs>
          <w:tab w:val="clear" w:pos="360"/>
          <w:tab w:val="num" w:pos="720"/>
        </w:tabs>
        <w:ind w:left="1080"/>
        <w:jc w:val="both"/>
        <w:rPr>
          <w:rFonts w:ascii="Arial" w:hAnsi="Arial" w:cs="Arial"/>
        </w:rPr>
      </w:pPr>
      <w:r w:rsidRPr="0060386F">
        <w:rPr>
          <w:rFonts w:ascii="Arial" w:hAnsi="Arial" w:cs="Arial"/>
        </w:rPr>
        <w:t>Determine the type of QDIA to offer in the plan</w:t>
      </w:r>
      <w:r w:rsidR="00D64E8A" w:rsidRPr="0060386F">
        <w:rPr>
          <w:rFonts w:ascii="Arial" w:hAnsi="Arial" w:cs="Arial"/>
        </w:rPr>
        <w:t>;</w:t>
      </w:r>
    </w:p>
    <w:p w:rsidR="00993574" w:rsidRPr="0060386F" w:rsidRDefault="00D64E8A" w:rsidP="00993574">
      <w:pPr>
        <w:numPr>
          <w:ilvl w:val="0"/>
          <w:numId w:val="28"/>
        </w:numPr>
        <w:tabs>
          <w:tab w:val="clear" w:pos="360"/>
          <w:tab w:val="num" w:pos="720"/>
        </w:tabs>
        <w:ind w:left="1080"/>
        <w:jc w:val="both"/>
        <w:rPr>
          <w:rFonts w:ascii="Arial" w:hAnsi="Arial" w:cs="Arial"/>
        </w:rPr>
      </w:pPr>
      <w:r w:rsidRPr="0060386F">
        <w:rPr>
          <w:rFonts w:ascii="Arial" w:hAnsi="Arial" w:cs="Arial"/>
        </w:rPr>
        <w:t>Select a fund or funds that meets the regulatory requirements for a QDIA</w:t>
      </w:r>
      <w:r w:rsidR="00993574" w:rsidRPr="0060386F">
        <w:rPr>
          <w:rFonts w:ascii="Arial" w:hAnsi="Arial" w:cs="Arial"/>
        </w:rPr>
        <w:t xml:space="preserve">, </w:t>
      </w:r>
      <w:r w:rsidR="00C27D23" w:rsidRPr="0060386F">
        <w:rPr>
          <w:rFonts w:ascii="Arial" w:hAnsi="Arial" w:cs="Arial"/>
        </w:rPr>
        <w:t xml:space="preserve">and </w:t>
      </w:r>
      <w:r w:rsidR="00993574" w:rsidRPr="0060386F">
        <w:rPr>
          <w:rFonts w:ascii="Arial" w:hAnsi="Arial" w:cs="Arial"/>
        </w:rPr>
        <w:t xml:space="preserve">based on </w:t>
      </w:r>
      <w:r w:rsidR="00C27D23" w:rsidRPr="0060386F">
        <w:rPr>
          <w:rFonts w:ascii="Arial" w:hAnsi="Arial" w:cs="Arial"/>
        </w:rPr>
        <w:t xml:space="preserve">evaluation of </w:t>
      </w:r>
      <w:r w:rsidR="00993574" w:rsidRPr="0060386F">
        <w:rPr>
          <w:rFonts w:ascii="Arial" w:hAnsi="Arial" w:cs="Arial"/>
        </w:rPr>
        <w:t xml:space="preserve">the </w:t>
      </w:r>
      <w:r w:rsidR="00C27D23" w:rsidRPr="0060386F">
        <w:rPr>
          <w:rFonts w:ascii="Arial" w:hAnsi="Arial" w:cs="Arial"/>
        </w:rPr>
        <w:t xml:space="preserve">applicable investment </w:t>
      </w:r>
      <w:r w:rsidR="00993574" w:rsidRPr="0060386F">
        <w:rPr>
          <w:rFonts w:ascii="Arial" w:hAnsi="Arial" w:cs="Arial"/>
        </w:rPr>
        <w:t xml:space="preserve">criteria </w:t>
      </w:r>
      <w:r w:rsidR="00C27D23" w:rsidRPr="0060386F">
        <w:rPr>
          <w:rFonts w:ascii="Arial" w:hAnsi="Arial" w:cs="Arial"/>
        </w:rPr>
        <w:t>listed above</w:t>
      </w:r>
      <w:r w:rsidRPr="0060386F">
        <w:rPr>
          <w:rFonts w:ascii="Arial" w:hAnsi="Arial" w:cs="Arial"/>
        </w:rPr>
        <w:t xml:space="preserve">; </w:t>
      </w:r>
    </w:p>
    <w:p w:rsidR="00D64E8A" w:rsidRPr="0060386F" w:rsidRDefault="00D64E8A" w:rsidP="00F0001D">
      <w:pPr>
        <w:numPr>
          <w:ilvl w:val="0"/>
          <w:numId w:val="28"/>
        </w:numPr>
        <w:tabs>
          <w:tab w:val="clear" w:pos="360"/>
          <w:tab w:val="num" w:pos="720"/>
        </w:tabs>
        <w:ind w:left="1080"/>
        <w:jc w:val="both"/>
        <w:rPr>
          <w:rFonts w:ascii="Arial" w:hAnsi="Arial" w:cs="Arial"/>
        </w:rPr>
      </w:pPr>
      <w:r w:rsidRPr="0060386F">
        <w:rPr>
          <w:rFonts w:ascii="Arial" w:hAnsi="Arial" w:cs="Arial"/>
        </w:rPr>
        <w:t>Document the decision-making process and conclusions; and</w:t>
      </w:r>
    </w:p>
    <w:p w:rsidR="00D64E8A" w:rsidRPr="0060386F" w:rsidRDefault="00D64E8A" w:rsidP="00F0001D">
      <w:pPr>
        <w:numPr>
          <w:ilvl w:val="0"/>
          <w:numId w:val="28"/>
        </w:numPr>
        <w:tabs>
          <w:tab w:val="clear" w:pos="360"/>
          <w:tab w:val="num" w:pos="720"/>
        </w:tabs>
        <w:ind w:left="1080"/>
        <w:jc w:val="both"/>
        <w:rPr>
          <w:rFonts w:ascii="Arial" w:hAnsi="Arial" w:cs="Arial"/>
        </w:rPr>
      </w:pPr>
      <w:r w:rsidRPr="0060386F">
        <w:rPr>
          <w:rFonts w:ascii="Arial" w:hAnsi="Arial" w:cs="Arial"/>
        </w:rPr>
        <w:t>Monitor the fund or funds periodically to ensure that they continue to satisfy the requirements to be treated as qualified</w:t>
      </w:r>
      <w:r w:rsidR="00F804FB" w:rsidRPr="0060386F">
        <w:rPr>
          <w:rFonts w:ascii="Arial" w:hAnsi="Arial" w:cs="Arial"/>
        </w:rPr>
        <w:t xml:space="preserve"> default investment alternative</w:t>
      </w:r>
      <w:r w:rsidRPr="0060386F">
        <w:rPr>
          <w:rFonts w:ascii="Arial" w:hAnsi="Arial" w:cs="Arial"/>
        </w:rPr>
        <w:t xml:space="preserve">.  </w:t>
      </w:r>
    </w:p>
    <w:bookmarkEnd w:id="24"/>
    <w:bookmarkEnd w:id="25"/>
    <w:p w:rsidR="004F2C51" w:rsidRPr="0060386F" w:rsidRDefault="004F2C51">
      <w:pPr>
        <w:rPr>
          <w:rFonts w:ascii="Arial" w:hAnsi="Arial" w:cs="Arial"/>
          <w:iCs/>
        </w:rPr>
      </w:pPr>
      <w:r w:rsidRPr="0060386F">
        <w:rPr>
          <w:rFonts w:ascii="Arial" w:hAnsi="Arial" w:cs="Arial"/>
          <w:iCs/>
        </w:rPr>
        <w:br w:type="page"/>
      </w:r>
    </w:p>
    <w:p w:rsidR="00591EEA" w:rsidRPr="0060386F" w:rsidRDefault="00591EEA" w:rsidP="00BB26F1">
      <w:pPr>
        <w:autoSpaceDE w:val="0"/>
        <w:autoSpaceDN w:val="0"/>
        <w:adjustRightInd w:val="0"/>
        <w:jc w:val="both"/>
        <w:rPr>
          <w:rFonts w:ascii="Arial" w:hAnsi="Arial" w:cs="Arial"/>
          <w:iCs/>
        </w:rPr>
      </w:pPr>
    </w:p>
    <w:p w:rsidR="00D64E8A" w:rsidRPr="0060386F" w:rsidRDefault="00F804FB" w:rsidP="00BB26F1">
      <w:pPr>
        <w:autoSpaceDE w:val="0"/>
        <w:autoSpaceDN w:val="0"/>
        <w:adjustRightInd w:val="0"/>
        <w:jc w:val="both"/>
        <w:rPr>
          <w:rFonts w:ascii="Arial" w:hAnsi="Arial" w:cs="Arial"/>
          <w:iCs/>
        </w:rPr>
      </w:pPr>
      <w:bookmarkStart w:id="26" w:name="OLE_LINK37"/>
      <w:bookmarkStart w:id="27" w:name="OLE_LINK38"/>
      <w:r w:rsidRPr="0060386F">
        <w:rPr>
          <w:rFonts w:ascii="Arial" w:hAnsi="Arial" w:cs="Arial"/>
          <w:iCs/>
        </w:rPr>
        <w:t xml:space="preserve">The Committee will select </w:t>
      </w:r>
      <w:r w:rsidR="00F0001D" w:rsidRPr="0060386F">
        <w:rPr>
          <w:rFonts w:ascii="Arial" w:hAnsi="Arial" w:cs="Arial"/>
          <w:iCs/>
        </w:rPr>
        <w:t xml:space="preserve">an </w:t>
      </w:r>
      <w:r w:rsidR="00D64E8A" w:rsidRPr="0060386F">
        <w:rPr>
          <w:rFonts w:ascii="Arial" w:hAnsi="Arial" w:cs="Arial"/>
          <w:iCs/>
        </w:rPr>
        <w:t xml:space="preserve">investment fund(s) that is diversified so as to minimize the risk of large losses. </w:t>
      </w:r>
      <w:bookmarkStart w:id="28" w:name="OLE_LINK39"/>
      <w:bookmarkStart w:id="29" w:name="OLE_LINK40"/>
      <w:bookmarkEnd w:id="26"/>
      <w:bookmarkEnd w:id="27"/>
      <w:r w:rsidR="00D64E8A" w:rsidRPr="0060386F">
        <w:rPr>
          <w:rFonts w:ascii="Arial" w:hAnsi="Arial" w:cs="Arial"/>
          <w:iCs/>
        </w:rPr>
        <w:t>Such a fund(s) will provide varying degrees of long-term appreciation and capital preservation through exposure to a mix of equity and fixed income investments</w:t>
      </w:r>
      <w:bookmarkEnd w:id="28"/>
      <w:bookmarkEnd w:id="29"/>
      <w:r w:rsidR="00D64E8A" w:rsidRPr="0060386F">
        <w:rPr>
          <w:rFonts w:ascii="Arial" w:hAnsi="Arial" w:cs="Arial"/>
          <w:iCs/>
        </w:rPr>
        <w:t xml:space="preserve"> that vary based on the participant’s age, target retirement date, or life expectancy. Such a fund(s) is expected to change its asset allocations over time with the objective of becoming more conservative over time.</w:t>
      </w:r>
    </w:p>
    <w:p w:rsidR="0071785D" w:rsidRPr="0060386F" w:rsidRDefault="0071785D">
      <w:pPr>
        <w:autoSpaceDE w:val="0"/>
        <w:autoSpaceDN w:val="0"/>
        <w:adjustRightInd w:val="0"/>
        <w:jc w:val="both"/>
        <w:rPr>
          <w:rFonts w:ascii="Arial" w:hAnsi="Arial" w:cs="Arial"/>
        </w:rPr>
      </w:pPr>
      <w:bookmarkStart w:id="30" w:name="OLE_LINK11"/>
      <w:bookmarkStart w:id="31" w:name="OLE_LINK12"/>
      <w:bookmarkStart w:id="32" w:name="OLE_LINK20"/>
    </w:p>
    <w:bookmarkEnd w:id="30"/>
    <w:bookmarkEnd w:id="31"/>
    <w:bookmarkEnd w:id="32"/>
    <w:p w:rsidR="00A4106A" w:rsidRPr="0060386F" w:rsidRDefault="00842F42">
      <w:pPr>
        <w:rPr>
          <w:rFonts w:ascii="Arial" w:hAnsi="Arial" w:cs="Arial"/>
        </w:rPr>
      </w:pPr>
      <w:r w:rsidRPr="0060386F">
        <w:rPr>
          <w:rFonts w:ascii="Arial" w:hAnsi="Arial" w:cs="Arial"/>
          <w:b/>
        </w:rPr>
        <w:t xml:space="preserve">The Committee has selected the fund(s) identified on Appendix A as the Plan’s default fund(s). </w:t>
      </w:r>
      <w:bookmarkEnd w:id="17"/>
      <w:bookmarkEnd w:id="18"/>
    </w:p>
    <w:bookmarkEnd w:id="19"/>
    <w:bookmarkEnd w:id="20"/>
    <w:bookmarkEnd w:id="21"/>
    <w:p w:rsidR="00A4106A" w:rsidRPr="0060386F" w:rsidRDefault="00A4106A"/>
    <w:p w:rsidR="00A4106A" w:rsidRPr="0060386F" w:rsidRDefault="00D64E8A">
      <w:pPr>
        <w:pStyle w:val="Heading1"/>
        <w:rPr>
          <w:rFonts w:ascii="Arial" w:hAnsi="Arial" w:cs="Arial"/>
          <w:sz w:val="20"/>
        </w:rPr>
      </w:pPr>
      <w:r w:rsidRPr="0060386F">
        <w:rPr>
          <w:rFonts w:ascii="Arial" w:hAnsi="Arial" w:cs="Arial"/>
          <w:sz w:val="20"/>
        </w:rPr>
        <w:t xml:space="preserve">Review and Amendment of the Policy </w:t>
      </w:r>
    </w:p>
    <w:p w:rsidR="00D64E8A" w:rsidRPr="0060386F" w:rsidRDefault="00D64E8A" w:rsidP="00BB26F1">
      <w:pPr>
        <w:jc w:val="both"/>
        <w:rPr>
          <w:rFonts w:ascii="Arial" w:hAnsi="Arial" w:cs="Arial"/>
          <w:b/>
          <w:u w:val="single"/>
        </w:rPr>
      </w:pPr>
    </w:p>
    <w:p w:rsidR="00EC22E3" w:rsidRPr="0060386F" w:rsidRDefault="00D64E8A" w:rsidP="00691E76">
      <w:pPr>
        <w:jc w:val="both"/>
        <w:rPr>
          <w:rFonts w:ascii="Arial" w:hAnsi="Arial" w:cs="Arial"/>
        </w:rPr>
      </w:pPr>
      <w:r w:rsidRPr="0060386F">
        <w:rPr>
          <w:rFonts w:ascii="Arial" w:hAnsi="Arial" w:cs="Arial"/>
        </w:rPr>
        <w:t xml:space="preserve">The Committee shall review this Policy </w:t>
      </w:r>
      <w:r w:rsidR="00691E76" w:rsidRPr="0060386F">
        <w:rPr>
          <w:rFonts w:ascii="Arial" w:hAnsi="Arial" w:cs="Arial"/>
        </w:rPr>
        <w:t>periodically</w:t>
      </w:r>
      <w:r w:rsidRPr="0060386F">
        <w:rPr>
          <w:rFonts w:ascii="Arial" w:hAnsi="Arial" w:cs="Arial"/>
        </w:rPr>
        <w:t xml:space="preserve"> to</w:t>
      </w:r>
      <w:r w:rsidR="00691E76" w:rsidRPr="0060386F">
        <w:rPr>
          <w:rFonts w:ascii="Arial" w:hAnsi="Arial" w:cs="Arial"/>
        </w:rPr>
        <w:t xml:space="preserve"> help</w:t>
      </w:r>
      <w:r w:rsidRPr="0060386F">
        <w:rPr>
          <w:rFonts w:ascii="Arial" w:hAnsi="Arial" w:cs="Arial"/>
        </w:rPr>
        <w:t xml:space="preserve"> ensure that it continues to reflect the Plan’s objectives and meet the needs of the Plan’s participants. Changes to this Policy are expected to be infrequent, as they will reflect long-term considerations, rather than short-term changes in the financial markets. The criteria used to evaluate this Policy shall include consideration of: (1) demographics of the workforce; (2) growth of the Plan; and (3) performance of existing investment options</w:t>
      </w:r>
    </w:p>
    <w:p w:rsidR="00EC22E3" w:rsidRDefault="00EC22E3">
      <w:pPr>
        <w:rPr>
          <w:rFonts w:ascii="Arial" w:hAnsi="Arial" w:cs="Arial"/>
        </w:rPr>
      </w:pPr>
      <w:r w:rsidRPr="0060386F">
        <w:rPr>
          <w:rFonts w:ascii="Arial" w:hAnsi="Arial" w:cs="Arial"/>
        </w:rPr>
        <w:br w:type="page"/>
      </w:r>
    </w:p>
    <w:p w:rsidR="00A4106A" w:rsidRDefault="00842F42">
      <w:pPr>
        <w:jc w:val="center"/>
        <w:rPr>
          <w:rFonts w:ascii="Arial" w:hAnsi="Arial" w:cs="Arial"/>
          <w:b/>
        </w:rPr>
      </w:pPr>
      <w:r w:rsidRPr="00842F42">
        <w:rPr>
          <w:rFonts w:ascii="Arial" w:hAnsi="Arial" w:cs="Arial"/>
          <w:b/>
        </w:rPr>
        <w:lastRenderedPageBreak/>
        <w:t>Appendix A</w:t>
      </w:r>
    </w:p>
    <w:p w:rsidR="00E15824" w:rsidRDefault="00E15824" w:rsidP="00691E76">
      <w:pPr>
        <w:jc w:val="both"/>
        <w:rPr>
          <w:rFonts w:ascii="Arial" w:hAnsi="Arial" w:cs="Arial"/>
          <w:b/>
        </w:rPr>
      </w:pPr>
    </w:p>
    <w:p w:rsidR="00851350" w:rsidRDefault="00842F42" w:rsidP="00851350">
      <w:pPr>
        <w:rPr>
          <w:rFonts w:ascii="Arial" w:hAnsi="Arial" w:cs="Arial"/>
          <w:b/>
          <w:u w:val="single"/>
        </w:rPr>
      </w:pPr>
      <w:r w:rsidRPr="00842F42">
        <w:rPr>
          <w:rFonts w:ascii="Arial" w:hAnsi="Arial" w:cs="Arial"/>
          <w:b/>
          <w:u w:val="single"/>
        </w:rPr>
        <w:t xml:space="preserve">Investment line-up as of </w:t>
      </w:r>
      <w:r w:rsidR="00CA1DC3" w:rsidRPr="00CA1DC3">
        <w:rPr>
          <w:rFonts w:ascii="Arial" w:hAnsi="Arial" w:cs="Arial"/>
          <w:b/>
          <w:u w:val="single"/>
        </w:rPr>
        <w:t>xx/xx/</w:t>
      </w:r>
      <w:proofErr w:type="spellStart"/>
      <w:r w:rsidR="00CA1DC3" w:rsidRPr="00CA1DC3">
        <w:rPr>
          <w:rFonts w:ascii="Arial" w:hAnsi="Arial" w:cs="Arial"/>
          <w:b/>
          <w:u w:val="single"/>
        </w:rPr>
        <w:t>xxxx</w:t>
      </w:r>
      <w:proofErr w:type="spellEnd"/>
    </w:p>
    <w:tbl>
      <w:tblPr>
        <w:tblW w:w="8700" w:type="dxa"/>
        <w:tblInd w:w="93" w:type="dxa"/>
        <w:tblLook w:val="04A0" w:firstRow="1" w:lastRow="0" w:firstColumn="1" w:lastColumn="0" w:noHBand="0" w:noVBand="1"/>
      </w:tblPr>
      <w:tblGrid>
        <w:gridCol w:w="3589"/>
        <w:gridCol w:w="880"/>
        <w:gridCol w:w="2497"/>
        <w:gridCol w:w="1770"/>
      </w:tblGrid>
      <w:tr w:rsidR="00985F46" w:rsidRPr="00985F46" w:rsidTr="00985F46">
        <w:trPr>
          <w:trHeight w:val="270"/>
        </w:trPr>
        <w:tc>
          <w:tcPr>
            <w:tcW w:w="3589" w:type="dxa"/>
            <w:tcBorders>
              <w:top w:val="single" w:sz="8" w:space="0" w:color="auto"/>
              <w:left w:val="single" w:sz="8" w:space="0" w:color="auto"/>
              <w:bottom w:val="single" w:sz="8" w:space="0" w:color="auto"/>
              <w:right w:val="nil"/>
            </w:tcBorders>
            <w:shd w:val="clear" w:color="000000" w:fill="1F497D"/>
            <w:hideMark/>
          </w:tcPr>
          <w:p w:rsidR="00985F46" w:rsidRPr="00985F46" w:rsidRDefault="00985F46" w:rsidP="00985F46">
            <w:pPr>
              <w:rPr>
                <w:rFonts w:ascii="Calibri" w:hAnsi="Calibri"/>
                <w:b/>
                <w:bCs/>
                <w:color w:val="FFFFFF"/>
              </w:rPr>
            </w:pPr>
            <w:r w:rsidRPr="00985F46">
              <w:rPr>
                <w:rFonts w:ascii="Calibri" w:hAnsi="Calibri"/>
                <w:b/>
                <w:bCs/>
                <w:color w:val="FFFFFF"/>
              </w:rPr>
              <w:t xml:space="preserve">Fund </w:t>
            </w:r>
          </w:p>
        </w:tc>
        <w:tc>
          <w:tcPr>
            <w:tcW w:w="844" w:type="dxa"/>
            <w:tcBorders>
              <w:top w:val="single" w:sz="8" w:space="0" w:color="auto"/>
              <w:left w:val="nil"/>
              <w:bottom w:val="single" w:sz="8" w:space="0" w:color="auto"/>
              <w:right w:val="nil"/>
            </w:tcBorders>
            <w:shd w:val="clear" w:color="000000" w:fill="1F497D"/>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Ticker</w:t>
            </w:r>
          </w:p>
        </w:tc>
        <w:tc>
          <w:tcPr>
            <w:tcW w:w="2497" w:type="dxa"/>
            <w:tcBorders>
              <w:top w:val="single" w:sz="8" w:space="0" w:color="auto"/>
              <w:left w:val="nil"/>
              <w:bottom w:val="single" w:sz="8" w:space="0" w:color="auto"/>
              <w:right w:val="nil"/>
            </w:tcBorders>
            <w:shd w:val="clear" w:color="000000" w:fill="1F497D"/>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Category</w:t>
            </w:r>
          </w:p>
        </w:tc>
        <w:tc>
          <w:tcPr>
            <w:tcW w:w="1770" w:type="dxa"/>
            <w:tcBorders>
              <w:top w:val="single" w:sz="8" w:space="0" w:color="auto"/>
              <w:left w:val="nil"/>
              <w:bottom w:val="single" w:sz="8" w:space="0" w:color="auto"/>
              <w:right w:val="single" w:sz="8" w:space="0" w:color="auto"/>
            </w:tcBorders>
            <w:shd w:val="clear" w:color="000000" w:fill="1F497D"/>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Investment Type</w:t>
            </w:r>
          </w:p>
        </w:tc>
      </w:tr>
      <w:tr w:rsidR="00985F46" w:rsidRPr="00985F46" w:rsidTr="00985F46">
        <w:trPr>
          <w:trHeight w:val="165"/>
        </w:trPr>
        <w:tc>
          <w:tcPr>
            <w:tcW w:w="3589" w:type="dxa"/>
            <w:tcBorders>
              <w:top w:val="nil"/>
              <w:left w:val="single" w:sz="8" w:space="0" w:color="auto"/>
              <w:bottom w:val="nil"/>
              <w:right w:val="nil"/>
            </w:tcBorders>
            <w:shd w:val="clear" w:color="000000" w:fill="FFFFFF"/>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844" w:type="dxa"/>
            <w:tcBorders>
              <w:top w:val="nil"/>
              <w:left w:val="nil"/>
              <w:bottom w:val="nil"/>
              <w:right w:val="nil"/>
            </w:tcBorders>
            <w:shd w:val="clear" w:color="000000" w:fill="FFFFFF"/>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 </w:t>
            </w:r>
          </w:p>
        </w:tc>
        <w:tc>
          <w:tcPr>
            <w:tcW w:w="2497" w:type="dxa"/>
            <w:tcBorders>
              <w:top w:val="nil"/>
              <w:left w:val="nil"/>
              <w:bottom w:val="nil"/>
              <w:right w:val="nil"/>
            </w:tcBorders>
            <w:shd w:val="clear" w:color="000000" w:fill="FFFFFF"/>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 </w:t>
            </w:r>
          </w:p>
        </w:tc>
        <w:tc>
          <w:tcPr>
            <w:tcW w:w="1770" w:type="dxa"/>
            <w:tcBorders>
              <w:top w:val="nil"/>
              <w:left w:val="nil"/>
              <w:bottom w:val="nil"/>
              <w:right w:val="single" w:sz="8" w:space="0" w:color="auto"/>
            </w:tcBorders>
            <w:shd w:val="clear" w:color="000000" w:fill="FFFFFF"/>
            <w:hideMark/>
          </w:tcPr>
          <w:p w:rsidR="00985F46" w:rsidRPr="00985F46" w:rsidRDefault="00985F46" w:rsidP="00985F46">
            <w:pPr>
              <w:jc w:val="cente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single" w:sz="8" w:space="0" w:color="auto"/>
              <w:left w:val="single" w:sz="8" w:space="0" w:color="auto"/>
              <w:bottom w:val="nil"/>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Target Date*</w:t>
            </w:r>
          </w:p>
        </w:tc>
        <w:tc>
          <w:tcPr>
            <w:tcW w:w="844" w:type="dxa"/>
            <w:tcBorders>
              <w:top w:val="single" w:sz="8" w:space="0" w:color="auto"/>
              <w:left w:val="nil"/>
              <w:bottom w:val="nil"/>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single" w:sz="8" w:space="0" w:color="auto"/>
              <w:left w:val="nil"/>
              <w:bottom w:val="nil"/>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single" w:sz="8" w:space="0" w:color="auto"/>
              <w:left w:val="nil"/>
              <w:bottom w:val="nil"/>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2060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VTTSX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2050+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2055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VFFVX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2050+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2050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VFIFX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2050+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2045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VTIVX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2041-2045</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2040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VFORX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2036-2040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2035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VTTHX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2031-2035</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2030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VTHRX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2026-2030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2025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VTTVX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2021-2025</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2020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VTWNX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2016-2020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2015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VTXVX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2011-2015</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2010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VTENX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 2000-2010</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Target Retirement Income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VTINX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Retirement Income</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Target Date</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Short-Term Reserves</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Prime Money Market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VMMXX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Stable Value / Cash Equivalent</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Short-Term Reserves</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Fixed Income</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Short-Term Bond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VBISX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Short-Term Bond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Total Bond Market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VBMFX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Intermediate-Term Bond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w:t>
            </w:r>
            <w:proofErr w:type="spellStart"/>
            <w:r w:rsidRPr="00985F46">
              <w:rPr>
                <w:rFonts w:ascii="Calibri" w:hAnsi="Calibri"/>
              </w:rPr>
              <w:t>Interm</w:t>
            </w:r>
            <w:proofErr w:type="spellEnd"/>
            <w:r w:rsidRPr="00985F46">
              <w:rPr>
                <w:rFonts w:ascii="Calibri" w:hAnsi="Calibri"/>
              </w:rPr>
              <w:t xml:space="preserve">-Term Bond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VBIIX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Intermediate-Term Bond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Long-Term Bond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VBLTX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Long-Term Bond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Inflation-Protected </w:t>
            </w:r>
            <w:proofErr w:type="spellStart"/>
            <w:r w:rsidRPr="00985F46">
              <w:rPr>
                <w:rFonts w:ascii="Calibri" w:hAnsi="Calibri"/>
              </w:rPr>
              <w:t>Secs</w:t>
            </w:r>
            <w:proofErr w:type="spellEnd"/>
            <w:r w:rsidRPr="00985F46">
              <w:rPr>
                <w:rFonts w:ascii="Calibri" w:hAnsi="Calibri"/>
              </w:rPr>
              <w:t xml:space="preserve">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VIPSX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Inflation-Protected Bond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Active</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Balanced</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Wellington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VWELX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Moderate Allocation</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Active</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Domestic Equity</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Total Stock Mkt </w:t>
            </w:r>
            <w:proofErr w:type="spellStart"/>
            <w:r w:rsidRPr="00985F46">
              <w:rPr>
                <w:rFonts w:ascii="Calibri" w:hAnsi="Calibri"/>
              </w:rPr>
              <w:t>Idx</w:t>
            </w:r>
            <w:proofErr w:type="spellEnd"/>
            <w:r w:rsidRPr="00985F46">
              <w:rPr>
                <w:rFonts w:ascii="Calibri" w:hAnsi="Calibri"/>
              </w:rPr>
              <w:t xml:space="preserve">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VTSMX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Large Blend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Vanguard 500 Index Investor</w:t>
            </w:r>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VFINX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Large Blend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Growth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VIGRX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Large Growth</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Value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VIVAX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Large Value</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Mid Cap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VIMSX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Mid-Cap Blend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Small Cap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NAESX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Small Blend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International/Global</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Total Intl Stock Index </w:t>
            </w:r>
            <w:proofErr w:type="spellStart"/>
            <w:r w:rsidRPr="00985F46">
              <w:rPr>
                <w:rFonts w:ascii="Calibri" w:hAnsi="Calibri"/>
              </w:rPr>
              <w:t>Inv</w:t>
            </w:r>
            <w:proofErr w:type="spellEnd"/>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VGTSX</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Foreign Large Blend</w:t>
            </w:r>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55"/>
        </w:trPr>
        <w:tc>
          <w:tcPr>
            <w:tcW w:w="3589" w:type="dxa"/>
            <w:tcBorders>
              <w:top w:val="nil"/>
              <w:left w:val="single" w:sz="8" w:space="0" w:color="auto"/>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Vanguard MSCI Emerging Markets ETF</w:t>
            </w:r>
          </w:p>
        </w:tc>
        <w:tc>
          <w:tcPr>
            <w:tcW w:w="844"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VWO</w:t>
            </w:r>
          </w:p>
        </w:tc>
        <w:tc>
          <w:tcPr>
            <w:tcW w:w="2497" w:type="dxa"/>
            <w:tcBorders>
              <w:top w:val="nil"/>
              <w:left w:val="nil"/>
              <w:bottom w:val="nil"/>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Diversified Emerging </w:t>
            </w:r>
            <w:proofErr w:type="spellStart"/>
            <w:r w:rsidRPr="00985F46">
              <w:rPr>
                <w:rFonts w:ascii="Calibri" w:hAnsi="Calibri"/>
              </w:rPr>
              <w:t>Mkts</w:t>
            </w:r>
            <w:proofErr w:type="spellEnd"/>
          </w:p>
        </w:tc>
        <w:tc>
          <w:tcPr>
            <w:tcW w:w="1770" w:type="dxa"/>
            <w:tcBorders>
              <w:top w:val="nil"/>
              <w:left w:val="nil"/>
              <w:bottom w:val="nil"/>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Specialty</w:t>
            </w:r>
          </w:p>
        </w:tc>
        <w:tc>
          <w:tcPr>
            <w:tcW w:w="844"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2497" w:type="dxa"/>
            <w:tcBorders>
              <w:top w:val="nil"/>
              <w:left w:val="nil"/>
              <w:bottom w:val="single" w:sz="8" w:space="0" w:color="auto"/>
              <w:right w:val="nil"/>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c>
          <w:tcPr>
            <w:tcW w:w="1770" w:type="dxa"/>
            <w:tcBorders>
              <w:top w:val="nil"/>
              <w:left w:val="nil"/>
              <w:bottom w:val="single" w:sz="8" w:space="0" w:color="auto"/>
              <w:right w:val="single" w:sz="8" w:space="0" w:color="auto"/>
            </w:tcBorders>
            <w:shd w:val="clear" w:color="000000" w:fill="9E1B34"/>
            <w:noWrap/>
            <w:hideMark/>
          </w:tcPr>
          <w:p w:rsidR="00985F46" w:rsidRPr="00985F46" w:rsidRDefault="00985F46" w:rsidP="00985F46">
            <w:pPr>
              <w:rPr>
                <w:rFonts w:ascii="Calibri" w:hAnsi="Calibri"/>
                <w:b/>
                <w:bCs/>
                <w:color w:val="FFFFFF"/>
              </w:rPr>
            </w:pPr>
            <w:r w:rsidRPr="00985F46">
              <w:rPr>
                <w:rFonts w:ascii="Calibri" w:hAnsi="Calibri"/>
                <w:b/>
                <w:bCs/>
                <w:color w:val="FFFFFF"/>
              </w:rPr>
              <w:t> </w:t>
            </w:r>
          </w:p>
        </w:tc>
      </w:tr>
      <w:tr w:rsidR="00985F46" w:rsidRPr="00985F46" w:rsidTr="00985F46">
        <w:trPr>
          <w:trHeight w:val="270"/>
        </w:trPr>
        <w:tc>
          <w:tcPr>
            <w:tcW w:w="3589" w:type="dxa"/>
            <w:tcBorders>
              <w:top w:val="nil"/>
              <w:left w:val="single" w:sz="8" w:space="0" w:color="auto"/>
              <w:bottom w:val="single" w:sz="8" w:space="0" w:color="auto"/>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 xml:space="preserve">Vanguard REIT Index </w:t>
            </w:r>
            <w:proofErr w:type="spellStart"/>
            <w:r w:rsidRPr="00985F46">
              <w:rPr>
                <w:rFonts w:ascii="Calibri" w:hAnsi="Calibri"/>
              </w:rPr>
              <w:t>Inv</w:t>
            </w:r>
            <w:proofErr w:type="spellEnd"/>
          </w:p>
        </w:tc>
        <w:tc>
          <w:tcPr>
            <w:tcW w:w="844" w:type="dxa"/>
            <w:tcBorders>
              <w:top w:val="nil"/>
              <w:left w:val="nil"/>
              <w:bottom w:val="single" w:sz="8" w:space="0" w:color="auto"/>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VGSIX</w:t>
            </w:r>
          </w:p>
        </w:tc>
        <w:tc>
          <w:tcPr>
            <w:tcW w:w="2497" w:type="dxa"/>
            <w:tcBorders>
              <w:top w:val="nil"/>
              <w:left w:val="nil"/>
              <w:bottom w:val="single" w:sz="8" w:space="0" w:color="auto"/>
              <w:right w:val="nil"/>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Real Estate</w:t>
            </w:r>
          </w:p>
        </w:tc>
        <w:tc>
          <w:tcPr>
            <w:tcW w:w="1770" w:type="dxa"/>
            <w:tcBorders>
              <w:top w:val="nil"/>
              <w:left w:val="nil"/>
              <w:bottom w:val="single" w:sz="8" w:space="0" w:color="auto"/>
              <w:right w:val="single" w:sz="8" w:space="0" w:color="auto"/>
            </w:tcBorders>
            <w:shd w:val="clear" w:color="000000" w:fill="FFFFFF"/>
            <w:noWrap/>
            <w:vAlign w:val="bottom"/>
            <w:hideMark/>
          </w:tcPr>
          <w:p w:rsidR="00985F46" w:rsidRPr="00985F46" w:rsidRDefault="00985F46" w:rsidP="00985F46">
            <w:pPr>
              <w:rPr>
                <w:rFonts w:ascii="Calibri" w:hAnsi="Calibri"/>
              </w:rPr>
            </w:pPr>
            <w:r w:rsidRPr="00985F46">
              <w:rPr>
                <w:rFonts w:ascii="Calibri" w:hAnsi="Calibri"/>
              </w:rPr>
              <w:t>Passive</w:t>
            </w:r>
          </w:p>
        </w:tc>
      </w:tr>
    </w:tbl>
    <w:p w:rsidR="00985F46" w:rsidRPr="00851350" w:rsidRDefault="00985F46" w:rsidP="00851350">
      <w:pPr>
        <w:rPr>
          <w:rFonts w:ascii="Arial" w:hAnsi="Arial" w:cs="Arial"/>
          <w:b/>
          <w:i/>
          <w:u w:val="single"/>
        </w:rPr>
      </w:pPr>
    </w:p>
    <w:p w:rsidR="005A6E93" w:rsidRDefault="005A6E93" w:rsidP="005A6E93">
      <w:pPr>
        <w:rPr>
          <w:rFonts w:ascii="Arial" w:hAnsi="Arial" w:cs="Arial"/>
          <w:i/>
        </w:rPr>
      </w:pPr>
      <w:r>
        <w:rPr>
          <w:rFonts w:ascii="Arial" w:hAnsi="Arial" w:cs="Arial"/>
          <w:i/>
        </w:rPr>
        <w:t>*</w:t>
      </w:r>
      <w:r w:rsidR="00A53BFC">
        <w:rPr>
          <w:rFonts w:ascii="Arial" w:hAnsi="Arial" w:cs="Arial"/>
          <w:i/>
        </w:rPr>
        <w:t xml:space="preserve"> </w:t>
      </w:r>
      <w:r>
        <w:rPr>
          <w:rFonts w:ascii="Arial" w:hAnsi="Arial" w:cs="Arial"/>
          <w:i/>
        </w:rPr>
        <w:t>Denotes the Plan’s default fund</w:t>
      </w:r>
      <w:r w:rsidR="00D030A1">
        <w:rPr>
          <w:rFonts w:ascii="Arial" w:hAnsi="Arial" w:cs="Arial"/>
          <w:i/>
        </w:rPr>
        <w:t>(s)</w:t>
      </w:r>
    </w:p>
    <w:p w:rsidR="00C20C3D" w:rsidRPr="00600FDE" w:rsidRDefault="00C20C3D" w:rsidP="00C20C3D">
      <w:pPr>
        <w:pStyle w:val="BodyText2"/>
        <w:rPr>
          <w:rFonts w:ascii="Arial" w:hAnsi="Arial" w:cs="Arial"/>
          <w:b/>
          <w:sz w:val="22"/>
          <w:szCs w:val="22"/>
        </w:rPr>
      </w:pPr>
      <w:r w:rsidRPr="00600FDE">
        <w:rPr>
          <w:rFonts w:ascii="Arial" w:hAnsi="Arial" w:cs="Arial"/>
          <w:sz w:val="22"/>
          <w:szCs w:val="22"/>
        </w:rPr>
        <w:t>Vanguard ETF Shares are not redeemable with the issuing Fund other than in</w:t>
      </w:r>
      <w:r>
        <w:t xml:space="preserve"> </w:t>
      </w:r>
      <w:r w:rsidRPr="00CD6357">
        <w:rPr>
          <w:rFonts w:ascii="Arial" w:hAnsi="Arial" w:cs="Arial"/>
          <w:sz w:val="22"/>
          <w:szCs w:val="22"/>
        </w:rPr>
        <w:t>very large aggreg</w:t>
      </w:r>
      <w:r>
        <w:rPr>
          <w:rFonts w:ascii="Arial" w:hAnsi="Arial" w:cs="Arial"/>
          <w:sz w:val="22"/>
          <w:szCs w:val="22"/>
        </w:rPr>
        <w:t>ations worth millions of dollars.</w:t>
      </w:r>
      <w:r w:rsidRPr="00600FDE">
        <w:rPr>
          <w:rFonts w:ascii="Arial" w:hAnsi="Arial" w:cs="Arial"/>
          <w:sz w:val="22"/>
          <w:szCs w:val="22"/>
        </w:rPr>
        <w:t xml:space="preserve"> </w:t>
      </w:r>
      <w:r>
        <w:rPr>
          <w:rFonts w:ascii="Arial" w:hAnsi="Arial" w:cs="Arial"/>
          <w:sz w:val="22"/>
          <w:szCs w:val="22"/>
        </w:rPr>
        <w:t>Instead, investors must buy and</w:t>
      </w:r>
      <w:r w:rsidRPr="00600FDE">
        <w:rPr>
          <w:rFonts w:ascii="Arial" w:hAnsi="Arial" w:cs="Arial"/>
          <w:sz w:val="22"/>
          <w:szCs w:val="22"/>
        </w:rPr>
        <w:t xml:space="preserve"> sell Vanguard ETF Shares in the secondary market </w:t>
      </w:r>
      <w:r>
        <w:rPr>
          <w:rFonts w:ascii="Arial" w:hAnsi="Arial" w:cs="Arial"/>
          <w:sz w:val="22"/>
          <w:szCs w:val="22"/>
        </w:rPr>
        <w:t>and hold those shares in a brokerage account</w:t>
      </w:r>
      <w:r w:rsidRPr="00600FDE">
        <w:rPr>
          <w:rFonts w:ascii="Arial" w:hAnsi="Arial" w:cs="Arial"/>
          <w:sz w:val="22"/>
          <w:szCs w:val="22"/>
        </w:rPr>
        <w:t>. In doing so, the investor may incur brokerage commissions and may pay more than net asset value when buying and receive less than net asset value when selling.</w:t>
      </w:r>
    </w:p>
    <w:p w:rsidR="00A4106A" w:rsidRDefault="00A4106A">
      <w:pPr>
        <w:rPr>
          <w:rFonts w:ascii="Arial" w:hAnsi="Arial" w:cs="Arial"/>
          <w:sz w:val="22"/>
          <w:szCs w:val="22"/>
        </w:rPr>
      </w:pPr>
    </w:p>
    <w:p w:rsidR="00C20C3D" w:rsidRDefault="00C20C3D">
      <w:pPr>
        <w:rPr>
          <w:rFonts w:ascii="Arial" w:hAnsi="Arial" w:cs="Arial"/>
          <w:i/>
          <w:iCs/>
          <w:sz w:val="22"/>
          <w:szCs w:val="22"/>
        </w:rPr>
      </w:pPr>
      <w:r w:rsidRPr="00B33BDD">
        <w:rPr>
          <w:rFonts w:ascii="Arial" w:hAnsi="Arial" w:cs="Arial"/>
          <w:i/>
          <w:iCs/>
          <w:sz w:val="22"/>
          <w:szCs w:val="22"/>
        </w:rPr>
        <w:t>An investment in a money market fund is not insured or guaranteed by the Federal Deposit Insurance Corporation or any other government agency. Although a money market fund seeks to preserve the value of your investment at $1 per share, it is possible to lose money by investing in such a fund.</w:t>
      </w:r>
    </w:p>
    <w:p w:rsidR="00C20C3D" w:rsidRDefault="00C20C3D">
      <w:pPr>
        <w:rPr>
          <w:rFonts w:ascii="Arial" w:hAnsi="Arial" w:cs="Arial"/>
          <w:iCs/>
          <w:sz w:val="22"/>
          <w:szCs w:val="22"/>
        </w:rPr>
      </w:pPr>
      <w:r>
        <w:rPr>
          <w:rFonts w:ascii="Arial" w:hAnsi="Arial" w:cs="Arial"/>
          <w:iCs/>
          <w:sz w:val="22"/>
          <w:szCs w:val="22"/>
        </w:rPr>
        <w:lastRenderedPageBreak/>
        <w:t>All investing is subject to risk, including the possible loss of money you invest. Diversification does not ensure a profit or protect against a loss.</w:t>
      </w:r>
    </w:p>
    <w:p w:rsidR="00C20C3D" w:rsidRDefault="00C20C3D">
      <w:pPr>
        <w:rPr>
          <w:rFonts w:ascii="Arial" w:hAnsi="Arial" w:cs="Arial"/>
          <w:iCs/>
          <w:sz w:val="22"/>
          <w:szCs w:val="22"/>
        </w:rPr>
      </w:pPr>
    </w:p>
    <w:p w:rsidR="00C20C3D" w:rsidRPr="00C20C3D" w:rsidRDefault="00C20C3D">
      <w:pPr>
        <w:rPr>
          <w:rFonts w:ascii="Arial" w:hAnsi="Arial" w:cs="Arial"/>
          <w:sz w:val="22"/>
          <w:szCs w:val="22"/>
        </w:rPr>
      </w:pPr>
      <w:proofErr w:type="gramStart"/>
      <w:r>
        <w:rPr>
          <w:rFonts w:ascii="Arial" w:hAnsi="Arial" w:cs="Arial"/>
          <w:iCs/>
          <w:sz w:val="22"/>
          <w:szCs w:val="22"/>
        </w:rPr>
        <w:t>© 2015 The Vanguard Group, Inc.</w:t>
      </w:r>
      <w:proofErr w:type="gramEnd"/>
      <w:r>
        <w:rPr>
          <w:rFonts w:ascii="Arial" w:hAnsi="Arial" w:cs="Arial"/>
          <w:iCs/>
          <w:sz w:val="22"/>
          <w:szCs w:val="22"/>
        </w:rPr>
        <w:t xml:space="preserve"> All rights reserved. Vanguard Marketing Corporation, Distributor. </w:t>
      </w:r>
    </w:p>
    <w:sectPr w:rsidR="00C20C3D" w:rsidRPr="00C20C3D" w:rsidSect="00744852">
      <w:headerReference w:type="even" r:id="rId9"/>
      <w:headerReference w:type="default" r:id="rId10"/>
      <w:footerReference w:type="even" r:id="rId11"/>
      <w:footerReference w:type="default" r:id="rId12"/>
      <w:headerReference w:type="first" r:id="rId13"/>
      <w:footerReference w:type="first" r:id="rId14"/>
      <w:pgSz w:w="12240" w:h="15840" w:code="1"/>
      <w:pgMar w:top="990" w:right="1800" w:bottom="108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6D" w:rsidRDefault="0020246D">
      <w:r>
        <w:separator/>
      </w:r>
    </w:p>
  </w:endnote>
  <w:endnote w:type="continuationSeparator" w:id="0">
    <w:p w:rsidR="0020246D" w:rsidRDefault="0020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3" w:rsidRDefault="00441051">
    <w:pPr>
      <w:pStyle w:val="Footer"/>
      <w:framePr w:wrap="around" w:vAnchor="text" w:hAnchor="margin" w:xAlign="center" w:y="1"/>
      <w:rPr>
        <w:rStyle w:val="PageNumber"/>
      </w:rPr>
    </w:pPr>
    <w:r>
      <w:rPr>
        <w:rStyle w:val="PageNumber"/>
      </w:rPr>
      <w:fldChar w:fldCharType="begin"/>
    </w:r>
    <w:r w:rsidR="00CA1DC3">
      <w:rPr>
        <w:rStyle w:val="PageNumber"/>
      </w:rPr>
      <w:instrText xml:space="preserve">PAGE  </w:instrText>
    </w:r>
    <w:r>
      <w:rPr>
        <w:rStyle w:val="PageNumber"/>
      </w:rPr>
      <w:fldChar w:fldCharType="separate"/>
    </w:r>
    <w:r w:rsidR="00CA1DC3">
      <w:rPr>
        <w:rStyle w:val="PageNumber"/>
        <w:noProof/>
      </w:rPr>
      <w:t>0</w:t>
    </w:r>
    <w:r>
      <w:rPr>
        <w:rStyle w:val="PageNumber"/>
      </w:rPr>
      <w:fldChar w:fldCharType="end"/>
    </w:r>
  </w:p>
  <w:p w:rsidR="00CA1DC3" w:rsidRDefault="00CA1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3" w:rsidRDefault="00441051">
    <w:pPr>
      <w:pStyle w:val="Footer"/>
      <w:framePr w:wrap="around" w:vAnchor="text" w:hAnchor="margin" w:xAlign="center" w:y="1"/>
      <w:rPr>
        <w:rStyle w:val="PageNumber"/>
      </w:rPr>
    </w:pPr>
    <w:r>
      <w:rPr>
        <w:rStyle w:val="PageNumber"/>
      </w:rPr>
      <w:fldChar w:fldCharType="begin"/>
    </w:r>
    <w:r w:rsidR="00CA1DC3">
      <w:rPr>
        <w:rStyle w:val="PageNumber"/>
      </w:rPr>
      <w:instrText xml:space="preserve">PAGE  </w:instrText>
    </w:r>
    <w:r>
      <w:rPr>
        <w:rStyle w:val="PageNumber"/>
      </w:rPr>
      <w:fldChar w:fldCharType="separate"/>
    </w:r>
    <w:r w:rsidR="003C2822">
      <w:rPr>
        <w:rStyle w:val="PageNumber"/>
        <w:noProof/>
      </w:rPr>
      <w:t>7</w:t>
    </w:r>
    <w:r>
      <w:rPr>
        <w:rStyle w:val="PageNumber"/>
      </w:rPr>
      <w:fldChar w:fldCharType="end"/>
    </w:r>
  </w:p>
  <w:p w:rsidR="00CA1DC3" w:rsidRDefault="00CA1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3" w:rsidRDefault="00CA1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6D" w:rsidRDefault="0020246D">
      <w:r>
        <w:separator/>
      </w:r>
    </w:p>
  </w:footnote>
  <w:footnote w:type="continuationSeparator" w:id="0">
    <w:p w:rsidR="0020246D" w:rsidRDefault="0020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3" w:rsidRDefault="00CA1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3" w:rsidRDefault="00CA1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862"/>
      <w:docPartObj>
        <w:docPartGallery w:val="Watermarks"/>
        <w:docPartUnique/>
      </w:docPartObj>
    </w:sdtPr>
    <w:sdtEndPr/>
    <w:sdtContent>
      <w:p w:rsidR="00CA1DC3" w:rsidRDefault="0020246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608EA"/>
    <w:multiLevelType w:val="hybridMultilevel"/>
    <w:tmpl w:val="4B6E50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C4DBA"/>
    <w:multiLevelType w:val="hybridMultilevel"/>
    <w:tmpl w:val="C90A236A"/>
    <w:lvl w:ilvl="0" w:tplc="125E0EBE">
      <w:start w:val="1"/>
      <w:numFmt w:val="bullet"/>
      <w:lvlText w:val=""/>
      <w:lvlJc w:val="left"/>
      <w:pPr>
        <w:tabs>
          <w:tab w:val="num" w:pos="1080"/>
        </w:tabs>
        <w:ind w:left="1080" w:hanging="360"/>
      </w:pPr>
      <w:rPr>
        <w:rFonts w:ascii="Wingdings" w:hAnsi="Wingdings" w:hint="default"/>
        <w:b w:val="0"/>
        <w:i w:val="0"/>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F432CF6"/>
    <w:multiLevelType w:val="hybridMultilevel"/>
    <w:tmpl w:val="BD5620EE"/>
    <w:lvl w:ilvl="0" w:tplc="8E3E4BF4">
      <w:start w:val="1"/>
      <w:numFmt w:val="bullet"/>
      <w:lvlText w:val=""/>
      <w:lvlJc w:val="left"/>
      <w:pPr>
        <w:tabs>
          <w:tab w:val="num" w:pos="2160"/>
        </w:tabs>
        <w:ind w:left="1800" w:firstLine="0"/>
      </w:pPr>
      <w:rPr>
        <w:rFonts w:ascii="Wingdings" w:hAnsi="Wingdings" w:hint="default"/>
        <w:b w:val="0"/>
        <w:i w:val="0"/>
        <w:sz w:val="22"/>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0954441"/>
    <w:multiLevelType w:val="hybridMultilevel"/>
    <w:tmpl w:val="49A6B4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22686C"/>
    <w:multiLevelType w:val="hybridMultilevel"/>
    <w:tmpl w:val="A030F9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4325E"/>
    <w:multiLevelType w:val="hybridMultilevel"/>
    <w:tmpl w:val="1ED67170"/>
    <w:lvl w:ilvl="0" w:tplc="125E0EBE">
      <w:start w:val="1"/>
      <w:numFmt w:val="bullet"/>
      <w:lvlText w:val=""/>
      <w:lvlJc w:val="left"/>
      <w:pPr>
        <w:tabs>
          <w:tab w:val="num" w:pos="1080"/>
        </w:tabs>
        <w:ind w:left="1080" w:hanging="360"/>
      </w:pPr>
      <w:rPr>
        <w:rFonts w:ascii="Wingdings" w:hAnsi="Wingdings" w:hint="default"/>
        <w:b w:val="0"/>
        <w:i w:val="0"/>
        <w:sz w:val="22"/>
      </w:rPr>
    </w:lvl>
    <w:lvl w:ilvl="1" w:tplc="FFFFFFFF">
      <w:start w:val="1"/>
      <w:numFmt w:val="bullet"/>
      <w:lvlText w:val=""/>
      <w:legacy w:legacy="1" w:legacySpace="72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6D4431"/>
    <w:multiLevelType w:val="singleLevel"/>
    <w:tmpl w:val="2B0003C8"/>
    <w:lvl w:ilvl="0">
      <w:start w:val="1"/>
      <w:numFmt w:val="decimal"/>
      <w:lvlText w:val="%1."/>
      <w:lvlJc w:val="left"/>
      <w:pPr>
        <w:tabs>
          <w:tab w:val="num" w:pos="360"/>
        </w:tabs>
        <w:ind w:left="360" w:hanging="360"/>
      </w:pPr>
      <w:rPr>
        <w:i/>
      </w:rPr>
    </w:lvl>
  </w:abstractNum>
  <w:abstractNum w:abstractNumId="8">
    <w:nsid w:val="13C21B55"/>
    <w:multiLevelType w:val="hybridMultilevel"/>
    <w:tmpl w:val="6D945A1C"/>
    <w:lvl w:ilvl="0" w:tplc="CD12AD80">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9045D4"/>
    <w:multiLevelType w:val="hybridMultilevel"/>
    <w:tmpl w:val="0C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DDA63AA"/>
    <w:multiLevelType w:val="hybridMultilevel"/>
    <w:tmpl w:val="CD04C640"/>
    <w:lvl w:ilvl="0" w:tplc="8E3E4BF4">
      <w:start w:val="1"/>
      <w:numFmt w:val="bullet"/>
      <w:lvlText w:val=""/>
      <w:lvlJc w:val="left"/>
      <w:pPr>
        <w:tabs>
          <w:tab w:val="num" w:pos="2160"/>
        </w:tabs>
        <w:ind w:left="1800" w:firstLine="0"/>
      </w:pPr>
      <w:rPr>
        <w:rFonts w:ascii="Wingdings" w:hAnsi="Wingdings"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73A1A26"/>
    <w:multiLevelType w:val="hybridMultilevel"/>
    <w:tmpl w:val="9B78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C82953"/>
    <w:multiLevelType w:val="hybridMultilevel"/>
    <w:tmpl w:val="360CE2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D0AE1"/>
    <w:multiLevelType w:val="hybridMultilevel"/>
    <w:tmpl w:val="F2BCA09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ED08F9"/>
    <w:multiLevelType w:val="hybridMultilevel"/>
    <w:tmpl w:val="CD04C640"/>
    <w:lvl w:ilvl="0" w:tplc="125E0EBE">
      <w:start w:val="1"/>
      <w:numFmt w:val="bullet"/>
      <w:lvlText w:val=""/>
      <w:lvlJc w:val="left"/>
      <w:pPr>
        <w:tabs>
          <w:tab w:val="num" w:pos="1800"/>
        </w:tabs>
        <w:ind w:left="1800" w:hanging="360"/>
      </w:pPr>
      <w:rPr>
        <w:rFonts w:ascii="Wingdings" w:hAnsi="Wingdings"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3A86A19"/>
    <w:multiLevelType w:val="hybridMultilevel"/>
    <w:tmpl w:val="0952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03135C"/>
    <w:multiLevelType w:val="hybridMultilevel"/>
    <w:tmpl w:val="CBF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B47"/>
    <w:multiLevelType w:val="hybridMultilevel"/>
    <w:tmpl w:val="0F7C7868"/>
    <w:lvl w:ilvl="0" w:tplc="125E0EBE">
      <w:start w:val="1"/>
      <w:numFmt w:val="bullet"/>
      <w:lvlText w:val=""/>
      <w:lvlJc w:val="left"/>
      <w:pPr>
        <w:tabs>
          <w:tab w:val="num" w:pos="1800"/>
        </w:tabs>
        <w:ind w:left="1800" w:hanging="360"/>
      </w:pPr>
      <w:rPr>
        <w:rFonts w:ascii="Wingdings" w:hAnsi="Wingdings" w:hint="default"/>
        <w:b w:val="0"/>
        <w:i w:val="0"/>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9BE67EE"/>
    <w:multiLevelType w:val="hybridMultilevel"/>
    <w:tmpl w:val="D8D02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592B52"/>
    <w:multiLevelType w:val="hybridMultilevel"/>
    <w:tmpl w:val="40E4B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8B2C09"/>
    <w:multiLevelType w:val="hybridMultilevel"/>
    <w:tmpl w:val="6FCA3C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55697B"/>
    <w:multiLevelType w:val="hybridMultilevel"/>
    <w:tmpl w:val="D8B89170"/>
    <w:lvl w:ilvl="0" w:tplc="CD12A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A50D8"/>
    <w:multiLevelType w:val="hybridMultilevel"/>
    <w:tmpl w:val="8514FAC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4C4E46"/>
    <w:multiLevelType w:val="hybridMultilevel"/>
    <w:tmpl w:val="3320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E07B2B"/>
    <w:multiLevelType w:val="hybridMultilevel"/>
    <w:tmpl w:val="F3383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2E78C6"/>
    <w:multiLevelType w:val="hybridMultilevel"/>
    <w:tmpl w:val="717C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19"/>
  </w:num>
  <w:num w:numId="4">
    <w:abstractNumId w:val="1"/>
  </w:num>
  <w:num w:numId="5">
    <w:abstractNumId w:val="2"/>
  </w:num>
  <w:num w:numId="6">
    <w:abstractNumId w:val="6"/>
  </w:num>
  <w:num w:numId="7">
    <w:abstractNumId w:val="17"/>
  </w:num>
  <w:num w:numId="8">
    <w:abstractNumId w:val="14"/>
  </w:num>
  <w:num w:numId="9">
    <w:abstractNumId w:val="3"/>
  </w:num>
  <w:num w:numId="10">
    <w:abstractNumId w:val="10"/>
  </w:num>
  <w:num w:numId="11">
    <w:abstractNumId w:val="2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13"/>
  </w:num>
  <w:num w:numId="32">
    <w:abstractNumId w:val="5"/>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3"/>
  </w:num>
  <w:num w:numId="41">
    <w:abstractNumId w:val="15"/>
  </w:num>
  <w:num w:numId="42">
    <w:abstractNumId w:val="11"/>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53"/>
    <w:rsid w:val="000150BF"/>
    <w:rsid w:val="00020B8C"/>
    <w:rsid w:val="00054B4C"/>
    <w:rsid w:val="00071CA8"/>
    <w:rsid w:val="000905AA"/>
    <w:rsid w:val="000A1B69"/>
    <w:rsid w:val="000A6454"/>
    <w:rsid w:val="000B52EF"/>
    <w:rsid w:val="000B5EC8"/>
    <w:rsid w:val="000B63A3"/>
    <w:rsid w:val="000E2524"/>
    <w:rsid w:val="000F3329"/>
    <w:rsid w:val="000F795E"/>
    <w:rsid w:val="0013325B"/>
    <w:rsid w:val="0014341C"/>
    <w:rsid w:val="00174CB5"/>
    <w:rsid w:val="001750E9"/>
    <w:rsid w:val="00190310"/>
    <w:rsid w:val="0019160B"/>
    <w:rsid w:val="001A010D"/>
    <w:rsid w:val="001B2A7A"/>
    <w:rsid w:val="0020246D"/>
    <w:rsid w:val="00204232"/>
    <w:rsid w:val="00253F55"/>
    <w:rsid w:val="00273F88"/>
    <w:rsid w:val="0028471B"/>
    <w:rsid w:val="00290CC0"/>
    <w:rsid w:val="00294F46"/>
    <w:rsid w:val="0029661A"/>
    <w:rsid w:val="002D0ED6"/>
    <w:rsid w:val="00301917"/>
    <w:rsid w:val="003055D5"/>
    <w:rsid w:val="00330DA7"/>
    <w:rsid w:val="00342F8F"/>
    <w:rsid w:val="00353EB3"/>
    <w:rsid w:val="0036268B"/>
    <w:rsid w:val="00387026"/>
    <w:rsid w:val="003A7667"/>
    <w:rsid w:val="003C010F"/>
    <w:rsid w:val="003C2822"/>
    <w:rsid w:val="003D086F"/>
    <w:rsid w:val="003D2F54"/>
    <w:rsid w:val="003D36BE"/>
    <w:rsid w:val="003E15C6"/>
    <w:rsid w:val="003E1A96"/>
    <w:rsid w:val="003E43D7"/>
    <w:rsid w:val="00401164"/>
    <w:rsid w:val="00402533"/>
    <w:rsid w:val="0040255A"/>
    <w:rsid w:val="004071C2"/>
    <w:rsid w:val="0042072E"/>
    <w:rsid w:val="00427A57"/>
    <w:rsid w:val="00437BF8"/>
    <w:rsid w:val="00441051"/>
    <w:rsid w:val="00447D07"/>
    <w:rsid w:val="00455EB0"/>
    <w:rsid w:val="004656C5"/>
    <w:rsid w:val="00476E97"/>
    <w:rsid w:val="00492169"/>
    <w:rsid w:val="004D44C4"/>
    <w:rsid w:val="004E73D2"/>
    <w:rsid w:val="004F2C51"/>
    <w:rsid w:val="004F4D51"/>
    <w:rsid w:val="004F579E"/>
    <w:rsid w:val="00504898"/>
    <w:rsid w:val="0051698D"/>
    <w:rsid w:val="00531BD8"/>
    <w:rsid w:val="00535EA5"/>
    <w:rsid w:val="005428A6"/>
    <w:rsid w:val="00550880"/>
    <w:rsid w:val="00573629"/>
    <w:rsid w:val="00574964"/>
    <w:rsid w:val="00581F71"/>
    <w:rsid w:val="005849B5"/>
    <w:rsid w:val="00587040"/>
    <w:rsid w:val="00591EEA"/>
    <w:rsid w:val="005A143D"/>
    <w:rsid w:val="005A6E93"/>
    <w:rsid w:val="005B2401"/>
    <w:rsid w:val="005E42E4"/>
    <w:rsid w:val="005E5FB1"/>
    <w:rsid w:val="0060386F"/>
    <w:rsid w:val="0061082D"/>
    <w:rsid w:val="006159E1"/>
    <w:rsid w:val="00623AB0"/>
    <w:rsid w:val="00626DD5"/>
    <w:rsid w:val="0063384A"/>
    <w:rsid w:val="00635249"/>
    <w:rsid w:val="00691E76"/>
    <w:rsid w:val="006A115F"/>
    <w:rsid w:val="006A2FF9"/>
    <w:rsid w:val="007163CE"/>
    <w:rsid w:val="0071785D"/>
    <w:rsid w:val="00717B5A"/>
    <w:rsid w:val="00733853"/>
    <w:rsid w:val="00741093"/>
    <w:rsid w:val="00744852"/>
    <w:rsid w:val="00761711"/>
    <w:rsid w:val="00762F7B"/>
    <w:rsid w:val="00770E40"/>
    <w:rsid w:val="0078657C"/>
    <w:rsid w:val="007918D3"/>
    <w:rsid w:val="00793F1B"/>
    <w:rsid w:val="007B1746"/>
    <w:rsid w:val="007D41D5"/>
    <w:rsid w:val="007F39DA"/>
    <w:rsid w:val="00800F2D"/>
    <w:rsid w:val="008155CA"/>
    <w:rsid w:val="00834DEB"/>
    <w:rsid w:val="00842F42"/>
    <w:rsid w:val="0084511C"/>
    <w:rsid w:val="00851350"/>
    <w:rsid w:val="00864727"/>
    <w:rsid w:val="00866DE8"/>
    <w:rsid w:val="00882EAA"/>
    <w:rsid w:val="00896BB3"/>
    <w:rsid w:val="008A061D"/>
    <w:rsid w:val="008C30F0"/>
    <w:rsid w:val="00904F50"/>
    <w:rsid w:val="00922B9D"/>
    <w:rsid w:val="00931F0B"/>
    <w:rsid w:val="009341D3"/>
    <w:rsid w:val="00962C5A"/>
    <w:rsid w:val="009778C8"/>
    <w:rsid w:val="00985F46"/>
    <w:rsid w:val="00993574"/>
    <w:rsid w:val="00995326"/>
    <w:rsid w:val="0099669A"/>
    <w:rsid w:val="00996958"/>
    <w:rsid w:val="009B13F0"/>
    <w:rsid w:val="009B56AB"/>
    <w:rsid w:val="009E1266"/>
    <w:rsid w:val="009F41E7"/>
    <w:rsid w:val="00A07164"/>
    <w:rsid w:val="00A073CD"/>
    <w:rsid w:val="00A22F75"/>
    <w:rsid w:val="00A23522"/>
    <w:rsid w:val="00A3180D"/>
    <w:rsid w:val="00A35971"/>
    <w:rsid w:val="00A4106A"/>
    <w:rsid w:val="00A53BFC"/>
    <w:rsid w:val="00A578C8"/>
    <w:rsid w:val="00A6664F"/>
    <w:rsid w:val="00A81569"/>
    <w:rsid w:val="00AB105B"/>
    <w:rsid w:val="00AB1FEB"/>
    <w:rsid w:val="00AC4FEC"/>
    <w:rsid w:val="00B23F44"/>
    <w:rsid w:val="00B24864"/>
    <w:rsid w:val="00B27092"/>
    <w:rsid w:val="00B30A2D"/>
    <w:rsid w:val="00B33BDD"/>
    <w:rsid w:val="00B3662B"/>
    <w:rsid w:val="00B378B8"/>
    <w:rsid w:val="00B43D7B"/>
    <w:rsid w:val="00B84486"/>
    <w:rsid w:val="00B85E6D"/>
    <w:rsid w:val="00B863B3"/>
    <w:rsid w:val="00BA2BEC"/>
    <w:rsid w:val="00BA3791"/>
    <w:rsid w:val="00BB26F1"/>
    <w:rsid w:val="00BC24D2"/>
    <w:rsid w:val="00BD5566"/>
    <w:rsid w:val="00BD5608"/>
    <w:rsid w:val="00BF75AA"/>
    <w:rsid w:val="00BF7896"/>
    <w:rsid w:val="00C20C3D"/>
    <w:rsid w:val="00C27D23"/>
    <w:rsid w:val="00C41BFA"/>
    <w:rsid w:val="00C55232"/>
    <w:rsid w:val="00C574BA"/>
    <w:rsid w:val="00C65BCE"/>
    <w:rsid w:val="00C70F9C"/>
    <w:rsid w:val="00CA1DC3"/>
    <w:rsid w:val="00CA7455"/>
    <w:rsid w:val="00CF476E"/>
    <w:rsid w:val="00CF47DB"/>
    <w:rsid w:val="00D030A1"/>
    <w:rsid w:val="00D05ED0"/>
    <w:rsid w:val="00D20BB1"/>
    <w:rsid w:val="00D265FA"/>
    <w:rsid w:val="00D3319E"/>
    <w:rsid w:val="00D3350E"/>
    <w:rsid w:val="00D44A73"/>
    <w:rsid w:val="00D50214"/>
    <w:rsid w:val="00D64E8A"/>
    <w:rsid w:val="00D807B3"/>
    <w:rsid w:val="00D83C5E"/>
    <w:rsid w:val="00D94599"/>
    <w:rsid w:val="00DA7CDB"/>
    <w:rsid w:val="00DB2047"/>
    <w:rsid w:val="00DB6C8A"/>
    <w:rsid w:val="00DB714A"/>
    <w:rsid w:val="00DB7FD8"/>
    <w:rsid w:val="00DC204D"/>
    <w:rsid w:val="00DE0683"/>
    <w:rsid w:val="00DE4C00"/>
    <w:rsid w:val="00E0534E"/>
    <w:rsid w:val="00E15824"/>
    <w:rsid w:val="00E2293C"/>
    <w:rsid w:val="00E24F25"/>
    <w:rsid w:val="00E33D44"/>
    <w:rsid w:val="00E42593"/>
    <w:rsid w:val="00E47306"/>
    <w:rsid w:val="00E52807"/>
    <w:rsid w:val="00E6317D"/>
    <w:rsid w:val="00E75D34"/>
    <w:rsid w:val="00E803AD"/>
    <w:rsid w:val="00E96137"/>
    <w:rsid w:val="00EC22E3"/>
    <w:rsid w:val="00ED57B3"/>
    <w:rsid w:val="00EE6867"/>
    <w:rsid w:val="00F0001D"/>
    <w:rsid w:val="00F02C8A"/>
    <w:rsid w:val="00F32153"/>
    <w:rsid w:val="00F33FB5"/>
    <w:rsid w:val="00F557CF"/>
    <w:rsid w:val="00F6148B"/>
    <w:rsid w:val="00F7019E"/>
    <w:rsid w:val="00F804FB"/>
    <w:rsid w:val="00F95A27"/>
    <w:rsid w:val="00FA6A67"/>
    <w:rsid w:val="00FC67A5"/>
    <w:rsid w:val="00FD6A6F"/>
    <w:rsid w:val="00FD7F69"/>
    <w:rsid w:val="00FE7D48"/>
    <w:rsid w:val="00FF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232"/>
  </w:style>
  <w:style w:type="paragraph" w:styleId="Heading1">
    <w:name w:val="heading 1"/>
    <w:basedOn w:val="Normal"/>
    <w:next w:val="Normal"/>
    <w:link w:val="Heading1Char"/>
    <w:qFormat/>
    <w:rsid w:val="00F95A27"/>
    <w:pPr>
      <w:keepNext/>
      <w:pBdr>
        <w:bottom w:val="single" w:sz="12" w:space="1" w:color="auto"/>
      </w:pBdr>
      <w:outlineLvl w:val="0"/>
    </w:pPr>
    <w:rPr>
      <w:b/>
      <w:sz w:val="24"/>
    </w:rPr>
  </w:style>
  <w:style w:type="paragraph" w:styleId="Heading2">
    <w:name w:val="heading 2"/>
    <w:basedOn w:val="Normal"/>
    <w:next w:val="Normal"/>
    <w:link w:val="Heading2Char"/>
    <w:semiHidden/>
    <w:unhideWhenUsed/>
    <w:qFormat/>
    <w:rsid w:val="00D64E8A"/>
    <w:pPr>
      <w:keepNext/>
      <w:outlineLvl w:val="1"/>
    </w:pPr>
    <w:rPr>
      <w:i/>
      <w:sz w:val="24"/>
    </w:rPr>
  </w:style>
  <w:style w:type="paragraph" w:styleId="Heading3">
    <w:name w:val="heading 3"/>
    <w:basedOn w:val="Normal"/>
    <w:next w:val="Normal"/>
    <w:link w:val="Heading3Char"/>
    <w:qFormat/>
    <w:rsid w:val="00F95A27"/>
    <w:pPr>
      <w:keepNext/>
      <w:outlineLvl w:val="2"/>
    </w:pPr>
    <w:rPr>
      <w:sz w:val="24"/>
    </w:rPr>
  </w:style>
  <w:style w:type="paragraph" w:styleId="Heading4">
    <w:name w:val="heading 4"/>
    <w:basedOn w:val="Normal"/>
    <w:next w:val="Normal"/>
    <w:link w:val="Heading4Char"/>
    <w:semiHidden/>
    <w:unhideWhenUsed/>
    <w:qFormat/>
    <w:rsid w:val="00D64E8A"/>
    <w:pPr>
      <w:keepNext/>
      <w:outlineLvl w:val="3"/>
    </w:pPr>
    <w:rPr>
      <w:b/>
      <w:i/>
      <w:sz w:val="24"/>
    </w:rPr>
  </w:style>
  <w:style w:type="paragraph" w:styleId="Heading5">
    <w:name w:val="heading 5"/>
    <w:basedOn w:val="Normal"/>
    <w:next w:val="Normal"/>
    <w:link w:val="Heading5Char"/>
    <w:qFormat/>
    <w:rsid w:val="00F95A27"/>
    <w:pPr>
      <w:keepNext/>
      <w:outlineLvl w:val="4"/>
    </w:pPr>
    <w:rPr>
      <w:b/>
      <w:sz w:val="24"/>
      <w:u w:val="single"/>
    </w:rPr>
  </w:style>
  <w:style w:type="paragraph" w:styleId="Heading6">
    <w:name w:val="heading 6"/>
    <w:basedOn w:val="Normal"/>
    <w:next w:val="Normal"/>
    <w:link w:val="Heading6Char"/>
    <w:semiHidden/>
    <w:unhideWhenUsed/>
    <w:qFormat/>
    <w:rsid w:val="00D64E8A"/>
    <w:pPr>
      <w:keepNext/>
      <w:outlineLvl w:val="5"/>
    </w:pPr>
    <w:rPr>
      <w:b/>
      <w:sz w:val="24"/>
    </w:rPr>
  </w:style>
  <w:style w:type="paragraph" w:styleId="Heading7">
    <w:name w:val="heading 7"/>
    <w:basedOn w:val="Normal"/>
    <w:next w:val="Normal"/>
    <w:link w:val="Heading7Char"/>
    <w:semiHidden/>
    <w:unhideWhenUsed/>
    <w:qFormat/>
    <w:rsid w:val="00D64E8A"/>
    <w:pPr>
      <w:keepNext/>
      <w:numPr>
        <w:ilvl w:val="12"/>
      </w:numPr>
      <w:tabs>
        <w:tab w:val="left" w:pos="-720"/>
        <w:tab w:val="left" w:pos="331"/>
        <w:tab w:val="left" w:pos="511"/>
      </w:tabs>
      <w:suppressAutoHyphens/>
      <w:outlineLvl w:val="6"/>
    </w:pPr>
    <w:rPr>
      <w:rFonts w:ascii="CG Times" w:hAnsi="CG Times"/>
      <w:b/>
      <w:sz w:val="21"/>
    </w:rPr>
  </w:style>
  <w:style w:type="paragraph" w:styleId="Heading8">
    <w:name w:val="heading 8"/>
    <w:basedOn w:val="Normal"/>
    <w:next w:val="Normal"/>
    <w:link w:val="Heading8Char"/>
    <w:semiHidden/>
    <w:unhideWhenUsed/>
    <w:qFormat/>
    <w:rsid w:val="00D64E8A"/>
    <w:pPr>
      <w:keepNext/>
      <w:numPr>
        <w:ilvl w:val="12"/>
      </w:numPr>
      <w:tabs>
        <w:tab w:val="left" w:pos="-720"/>
        <w:tab w:val="left" w:pos="331"/>
        <w:tab w:val="left" w:pos="511"/>
      </w:tabs>
      <w:suppressAutoHyphens/>
      <w:ind w:left="511" w:hanging="511"/>
      <w:outlineLvl w:val="7"/>
    </w:pPr>
    <w:rPr>
      <w:rFonts w:ascii="CG Times" w:hAnsi="CG Times"/>
      <w:b/>
      <w:sz w:val="21"/>
    </w:rPr>
  </w:style>
  <w:style w:type="paragraph" w:styleId="Heading9">
    <w:name w:val="heading 9"/>
    <w:basedOn w:val="Normal"/>
    <w:next w:val="Normal"/>
    <w:link w:val="Heading9Char"/>
    <w:semiHidden/>
    <w:unhideWhenUsed/>
    <w:qFormat/>
    <w:rsid w:val="00D64E8A"/>
    <w:pPr>
      <w:keepNext/>
      <w:ind w:left="720" w:firstLine="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27"/>
    <w:pPr>
      <w:jc w:val="center"/>
    </w:pPr>
    <w:rPr>
      <w:b/>
      <w:sz w:val="32"/>
    </w:rPr>
  </w:style>
  <w:style w:type="paragraph" w:styleId="BodyText">
    <w:name w:val="Body Text"/>
    <w:basedOn w:val="Normal"/>
    <w:link w:val="BodyTextChar"/>
    <w:rsid w:val="00F95A27"/>
    <w:rPr>
      <w:sz w:val="24"/>
    </w:rPr>
  </w:style>
  <w:style w:type="paragraph" w:styleId="BodyText2">
    <w:name w:val="Body Text 2"/>
    <w:basedOn w:val="Normal"/>
    <w:link w:val="BodyText2Char"/>
    <w:rsid w:val="00F95A27"/>
    <w:rPr>
      <w:i/>
      <w:sz w:val="24"/>
    </w:rPr>
  </w:style>
  <w:style w:type="paragraph" w:styleId="Footer">
    <w:name w:val="footer"/>
    <w:basedOn w:val="Normal"/>
    <w:link w:val="FooterChar"/>
    <w:rsid w:val="00F95A27"/>
    <w:pPr>
      <w:tabs>
        <w:tab w:val="center" w:pos="4320"/>
        <w:tab w:val="right" w:pos="8640"/>
      </w:tabs>
    </w:pPr>
  </w:style>
  <w:style w:type="character" w:styleId="PageNumber">
    <w:name w:val="page number"/>
    <w:basedOn w:val="DefaultParagraphFont"/>
    <w:rsid w:val="00F95A27"/>
  </w:style>
  <w:style w:type="paragraph" w:styleId="BodyTextIndent">
    <w:name w:val="Body Text Indent"/>
    <w:basedOn w:val="Normal"/>
    <w:link w:val="BodyTextIndentChar"/>
    <w:rsid w:val="00F95A27"/>
    <w:pPr>
      <w:ind w:left="720"/>
    </w:pPr>
    <w:rPr>
      <w:sz w:val="24"/>
    </w:rPr>
  </w:style>
  <w:style w:type="paragraph" w:customStyle="1" w:styleId="funddes">
    <w:name w:val="funddes"/>
    <w:basedOn w:val="Normal"/>
    <w:rsid w:val="00F95A27"/>
    <w:pPr>
      <w:ind w:left="360" w:hanging="360"/>
      <w:jc w:val="both"/>
    </w:pPr>
    <w:rPr>
      <w:sz w:val="24"/>
    </w:rPr>
  </w:style>
  <w:style w:type="paragraph" w:styleId="BalloonText">
    <w:name w:val="Balloon Text"/>
    <w:basedOn w:val="Normal"/>
    <w:link w:val="BalloonTextChar"/>
    <w:semiHidden/>
    <w:rsid w:val="00F95A27"/>
    <w:rPr>
      <w:rFonts w:ascii="Tahoma" w:hAnsi="Tahoma" w:cs="Tahoma"/>
      <w:sz w:val="16"/>
      <w:szCs w:val="16"/>
    </w:rPr>
  </w:style>
  <w:style w:type="character" w:customStyle="1" w:styleId="TitleChar">
    <w:name w:val="Title Char"/>
    <w:basedOn w:val="DefaultParagraphFont"/>
    <w:link w:val="Title"/>
    <w:rsid w:val="0042072E"/>
    <w:rPr>
      <w:b/>
      <w:sz w:val="32"/>
    </w:rPr>
  </w:style>
  <w:style w:type="character" w:customStyle="1" w:styleId="Heading1Char">
    <w:name w:val="Heading 1 Char"/>
    <w:basedOn w:val="DefaultParagraphFont"/>
    <w:link w:val="Heading1"/>
    <w:rsid w:val="0042072E"/>
    <w:rPr>
      <w:b/>
      <w:sz w:val="24"/>
    </w:rPr>
  </w:style>
  <w:style w:type="character" w:customStyle="1" w:styleId="Heading3Char">
    <w:name w:val="Heading 3 Char"/>
    <w:basedOn w:val="DefaultParagraphFont"/>
    <w:link w:val="Heading3"/>
    <w:rsid w:val="0042072E"/>
    <w:rPr>
      <w:sz w:val="24"/>
    </w:rPr>
  </w:style>
  <w:style w:type="character" w:customStyle="1" w:styleId="Heading5Char">
    <w:name w:val="Heading 5 Char"/>
    <w:basedOn w:val="DefaultParagraphFont"/>
    <w:link w:val="Heading5"/>
    <w:rsid w:val="0042072E"/>
    <w:rPr>
      <w:b/>
      <w:sz w:val="24"/>
      <w:u w:val="single"/>
    </w:rPr>
  </w:style>
  <w:style w:type="character" w:customStyle="1" w:styleId="BodyTextChar">
    <w:name w:val="Body Text Char"/>
    <w:basedOn w:val="DefaultParagraphFont"/>
    <w:link w:val="BodyText"/>
    <w:rsid w:val="0042072E"/>
    <w:rPr>
      <w:sz w:val="24"/>
    </w:rPr>
  </w:style>
  <w:style w:type="character" w:customStyle="1" w:styleId="BodyTextIndentChar">
    <w:name w:val="Body Text Indent Char"/>
    <w:basedOn w:val="DefaultParagraphFont"/>
    <w:link w:val="BodyTextIndent"/>
    <w:rsid w:val="00D64E8A"/>
    <w:rPr>
      <w:sz w:val="24"/>
    </w:rPr>
  </w:style>
  <w:style w:type="character" w:customStyle="1" w:styleId="Heading2Char">
    <w:name w:val="Heading 2 Char"/>
    <w:basedOn w:val="DefaultParagraphFont"/>
    <w:link w:val="Heading2"/>
    <w:semiHidden/>
    <w:rsid w:val="00D64E8A"/>
    <w:rPr>
      <w:i/>
      <w:sz w:val="24"/>
    </w:rPr>
  </w:style>
  <w:style w:type="character" w:customStyle="1" w:styleId="Heading4Char">
    <w:name w:val="Heading 4 Char"/>
    <w:basedOn w:val="DefaultParagraphFont"/>
    <w:link w:val="Heading4"/>
    <w:semiHidden/>
    <w:rsid w:val="00D64E8A"/>
    <w:rPr>
      <w:b/>
      <w:i/>
      <w:sz w:val="24"/>
    </w:rPr>
  </w:style>
  <w:style w:type="character" w:customStyle="1" w:styleId="Heading6Char">
    <w:name w:val="Heading 6 Char"/>
    <w:basedOn w:val="DefaultParagraphFont"/>
    <w:link w:val="Heading6"/>
    <w:semiHidden/>
    <w:rsid w:val="00D64E8A"/>
    <w:rPr>
      <w:b/>
      <w:sz w:val="24"/>
    </w:rPr>
  </w:style>
  <w:style w:type="character" w:customStyle="1" w:styleId="Heading7Char">
    <w:name w:val="Heading 7 Char"/>
    <w:basedOn w:val="DefaultParagraphFont"/>
    <w:link w:val="Heading7"/>
    <w:semiHidden/>
    <w:rsid w:val="00D64E8A"/>
    <w:rPr>
      <w:rFonts w:ascii="CG Times" w:hAnsi="CG Times"/>
      <w:b/>
      <w:sz w:val="21"/>
    </w:rPr>
  </w:style>
  <w:style w:type="character" w:customStyle="1" w:styleId="Heading8Char">
    <w:name w:val="Heading 8 Char"/>
    <w:basedOn w:val="DefaultParagraphFont"/>
    <w:link w:val="Heading8"/>
    <w:semiHidden/>
    <w:rsid w:val="00D64E8A"/>
    <w:rPr>
      <w:rFonts w:ascii="CG Times" w:hAnsi="CG Times"/>
      <w:b/>
      <w:sz w:val="21"/>
    </w:rPr>
  </w:style>
  <w:style w:type="character" w:customStyle="1" w:styleId="Heading9Char">
    <w:name w:val="Heading 9 Char"/>
    <w:basedOn w:val="DefaultParagraphFont"/>
    <w:link w:val="Heading9"/>
    <w:semiHidden/>
    <w:rsid w:val="00D64E8A"/>
    <w:rPr>
      <w:b/>
      <w:sz w:val="24"/>
    </w:rPr>
  </w:style>
  <w:style w:type="paragraph" w:styleId="Header">
    <w:name w:val="header"/>
    <w:basedOn w:val="Normal"/>
    <w:link w:val="HeaderChar"/>
    <w:unhideWhenUsed/>
    <w:rsid w:val="00D64E8A"/>
    <w:pPr>
      <w:tabs>
        <w:tab w:val="center" w:pos="4320"/>
        <w:tab w:val="right" w:pos="8640"/>
      </w:tabs>
    </w:pPr>
  </w:style>
  <w:style w:type="character" w:customStyle="1" w:styleId="HeaderChar">
    <w:name w:val="Header Char"/>
    <w:basedOn w:val="DefaultParagraphFont"/>
    <w:link w:val="Header"/>
    <w:rsid w:val="00D64E8A"/>
  </w:style>
  <w:style w:type="character" w:customStyle="1" w:styleId="FooterChar">
    <w:name w:val="Footer Char"/>
    <w:basedOn w:val="DefaultParagraphFont"/>
    <w:link w:val="Footer"/>
    <w:rsid w:val="00D64E8A"/>
  </w:style>
  <w:style w:type="paragraph" w:styleId="Subtitle">
    <w:name w:val="Subtitle"/>
    <w:basedOn w:val="Normal"/>
    <w:link w:val="SubtitleChar"/>
    <w:qFormat/>
    <w:rsid w:val="00D64E8A"/>
    <w:rPr>
      <w:sz w:val="24"/>
    </w:rPr>
  </w:style>
  <w:style w:type="character" w:customStyle="1" w:styleId="SubtitleChar">
    <w:name w:val="Subtitle Char"/>
    <w:basedOn w:val="DefaultParagraphFont"/>
    <w:link w:val="Subtitle"/>
    <w:rsid w:val="00D64E8A"/>
    <w:rPr>
      <w:sz w:val="24"/>
    </w:rPr>
  </w:style>
  <w:style w:type="character" w:customStyle="1" w:styleId="BodyText2Char">
    <w:name w:val="Body Text 2 Char"/>
    <w:basedOn w:val="DefaultParagraphFont"/>
    <w:link w:val="BodyText2"/>
    <w:rsid w:val="00D64E8A"/>
    <w:rPr>
      <w:i/>
      <w:sz w:val="24"/>
    </w:rPr>
  </w:style>
  <w:style w:type="paragraph" w:styleId="BodyText3">
    <w:name w:val="Body Text 3"/>
    <w:basedOn w:val="Normal"/>
    <w:link w:val="BodyText3Char"/>
    <w:unhideWhenUsed/>
    <w:rsid w:val="00D64E8A"/>
    <w:pPr>
      <w:numPr>
        <w:ilvl w:val="12"/>
      </w:numPr>
    </w:pPr>
    <w:rPr>
      <w:b/>
      <w:i/>
      <w:sz w:val="24"/>
    </w:rPr>
  </w:style>
  <w:style w:type="character" w:customStyle="1" w:styleId="BodyText3Char">
    <w:name w:val="Body Text 3 Char"/>
    <w:basedOn w:val="DefaultParagraphFont"/>
    <w:link w:val="BodyText3"/>
    <w:rsid w:val="00D64E8A"/>
    <w:rPr>
      <w:b/>
      <w:i/>
      <w:sz w:val="24"/>
    </w:rPr>
  </w:style>
  <w:style w:type="paragraph" w:styleId="BodyTextIndent2">
    <w:name w:val="Body Text Indent 2"/>
    <w:basedOn w:val="Normal"/>
    <w:link w:val="BodyTextIndent2Char"/>
    <w:unhideWhenUsed/>
    <w:rsid w:val="00D64E8A"/>
    <w:pPr>
      <w:ind w:left="720" w:firstLine="720"/>
    </w:pPr>
    <w:rPr>
      <w:sz w:val="24"/>
    </w:rPr>
  </w:style>
  <w:style w:type="character" w:customStyle="1" w:styleId="BodyTextIndent2Char">
    <w:name w:val="Body Text Indent 2 Char"/>
    <w:basedOn w:val="DefaultParagraphFont"/>
    <w:link w:val="BodyTextIndent2"/>
    <w:rsid w:val="00D64E8A"/>
    <w:rPr>
      <w:sz w:val="24"/>
    </w:rPr>
  </w:style>
  <w:style w:type="paragraph" w:styleId="BodyTextIndent3">
    <w:name w:val="Body Text Indent 3"/>
    <w:basedOn w:val="Normal"/>
    <w:link w:val="BodyTextIndent3Char"/>
    <w:unhideWhenUsed/>
    <w:rsid w:val="00D64E8A"/>
    <w:pPr>
      <w:ind w:left="1440" w:firstLine="720"/>
    </w:pPr>
    <w:rPr>
      <w:sz w:val="24"/>
    </w:rPr>
  </w:style>
  <w:style w:type="character" w:customStyle="1" w:styleId="BodyTextIndent3Char">
    <w:name w:val="Body Text Indent 3 Char"/>
    <w:basedOn w:val="DefaultParagraphFont"/>
    <w:link w:val="BodyTextIndent3"/>
    <w:rsid w:val="00D64E8A"/>
    <w:rPr>
      <w:sz w:val="24"/>
    </w:rPr>
  </w:style>
  <w:style w:type="paragraph" w:styleId="BlockText">
    <w:name w:val="Block Text"/>
    <w:basedOn w:val="Normal"/>
    <w:unhideWhenUsed/>
    <w:rsid w:val="00D64E8A"/>
    <w:pPr>
      <w:numPr>
        <w:ilvl w:val="12"/>
      </w:numPr>
      <w:tabs>
        <w:tab w:val="left" w:pos="349"/>
        <w:tab w:val="left" w:pos="529"/>
        <w:tab w:val="left" w:pos="1080"/>
      </w:tabs>
      <w:suppressAutoHyphens/>
      <w:ind w:left="510" w:right="1358" w:hanging="510"/>
    </w:pPr>
    <w:rPr>
      <w:rFonts w:ascii="CG Times" w:hAnsi="CG Times"/>
      <w:sz w:val="21"/>
    </w:rPr>
  </w:style>
  <w:style w:type="paragraph" w:styleId="DocumentMap">
    <w:name w:val="Document Map"/>
    <w:basedOn w:val="Normal"/>
    <w:link w:val="DocumentMapChar"/>
    <w:unhideWhenUsed/>
    <w:rsid w:val="00D64E8A"/>
    <w:pPr>
      <w:shd w:val="clear" w:color="auto" w:fill="000080"/>
    </w:pPr>
    <w:rPr>
      <w:rFonts w:ascii="Tahoma" w:hAnsi="Tahoma"/>
    </w:rPr>
  </w:style>
  <w:style w:type="character" w:customStyle="1" w:styleId="DocumentMapChar">
    <w:name w:val="Document Map Char"/>
    <w:basedOn w:val="DefaultParagraphFont"/>
    <w:link w:val="DocumentMap"/>
    <w:rsid w:val="00D64E8A"/>
    <w:rPr>
      <w:rFonts w:ascii="Tahoma" w:hAnsi="Tahoma"/>
      <w:shd w:val="clear" w:color="auto" w:fill="000080"/>
    </w:rPr>
  </w:style>
  <w:style w:type="character" w:customStyle="1" w:styleId="BalloonTextChar">
    <w:name w:val="Balloon Text Char"/>
    <w:basedOn w:val="DefaultParagraphFont"/>
    <w:link w:val="BalloonText"/>
    <w:semiHidden/>
    <w:rsid w:val="00D64E8A"/>
    <w:rPr>
      <w:rFonts w:ascii="Tahoma" w:hAnsi="Tahoma" w:cs="Tahoma"/>
      <w:sz w:val="16"/>
      <w:szCs w:val="16"/>
    </w:rPr>
  </w:style>
  <w:style w:type="paragraph" w:customStyle="1" w:styleId="feetext">
    <w:name w:val="feetext"/>
    <w:basedOn w:val="Normal"/>
    <w:rsid w:val="00D64E8A"/>
    <w:pPr>
      <w:jc w:val="both"/>
    </w:pPr>
    <w:rPr>
      <w:i/>
    </w:rPr>
  </w:style>
  <w:style w:type="paragraph" w:customStyle="1" w:styleId="NormalDS">
    <w:name w:val="Normal DS"/>
    <w:basedOn w:val="Normal"/>
    <w:rsid w:val="00D64E8A"/>
    <w:pPr>
      <w:spacing w:after="260"/>
    </w:pPr>
    <w:rPr>
      <w:rFonts w:ascii="Times" w:hAnsi="Times"/>
      <w:sz w:val="23"/>
    </w:rPr>
  </w:style>
  <w:style w:type="paragraph" w:styleId="ListParagraph">
    <w:name w:val="List Paragraph"/>
    <w:basedOn w:val="Normal"/>
    <w:uiPriority w:val="34"/>
    <w:qFormat/>
    <w:rsid w:val="000150BF"/>
    <w:pPr>
      <w:ind w:left="720"/>
      <w:contextualSpacing/>
    </w:pPr>
  </w:style>
  <w:style w:type="table" w:styleId="TableGrid">
    <w:name w:val="Table Grid"/>
    <w:basedOn w:val="TableNormal"/>
    <w:rsid w:val="00AB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D44C4"/>
    <w:rPr>
      <w:sz w:val="16"/>
      <w:szCs w:val="16"/>
    </w:rPr>
  </w:style>
  <w:style w:type="paragraph" w:styleId="CommentText">
    <w:name w:val="annotation text"/>
    <w:basedOn w:val="Normal"/>
    <w:link w:val="CommentTextChar"/>
    <w:rsid w:val="004D44C4"/>
  </w:style>
  <w:style w:type="character" w:customStyle="1" w:styleId="CommentTextChar">
    <w:name w:val="Comment Text Char"/>
    <w:basedOn w:val="DefaultParagraphFont"/>
    <w:link w:val="CommentText"/>
    <w:rsid w:val="004D44C4"/>
  </w:style>
  <w:style w:type="paragraph" w:styleId="CommentSubject">
    <w:name w:val="annotation subject"/>
    <w:basedOn w:val="CommentText"/>
    <w:next w:val="CommentText"/>
    <w:link w:val="CommentSubjectChar"/>
    <w:rsid w:val="004D44C4"/>
    <w:rPr>
      <w:b/>
      <w:bCs/>
    </w:rPr>
  </w:style>
  <w:style w:type="character" w:customStyle="1" w:styleId="CommentSubjectChar">
    <w:name w:val="Comment Subject Char"/>
    <w:basedOn w:val="CommentTextChar"/>
    <w:link w:val="CommentSubject"/>
    <w:rsid w:val="004D44C4"/>
    <w:rPr>
      <w:b/>
      <w:bCs/>
    </w:rPr>
  </w:style>
  <w:style w:type="paragraph" w:styleId="Revision">
    <w:name w:val="Revision"/>
    <w:hidden/>
    <w:uiPriority w:val="99"/>
    <w:semiHidden/>
    <w:rsid w:val="00DB7FD8"/>
  </w:style>
  <w:style w:type="character" w:styleId="Emphasis">
    <w:name w:val="Emphasis"/>
    <w:basedOn w:val="DefaultParagraphFont"/>
    <w:qFormat/>
    <w:rsid w:val="00A53B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232"/>
  </w:style>
  <w:style w:type="paragraph" w:styleId="Heading1">
    <w:name w:val="heading 1"/>
    <w:basedOn w:val="Normal"/>
    <w:next w:val="Normal"/>
    <w:link w:val="Heading1Char"/>
    <w:qFormat/>
    <w:rsid w:val="00F95A27"/>
    <w:pPr>
      <w:keepNext/>
      <w:pBdr>
        <w:bottom w:val="single" w:sz="12" w:space="1" w:color="auto"/>
      </w:pBdr>
      <w:outlineLvl w:val="0"/>
    </w:pPr>
    <w:rPr>
      <w:b/>
      <w:sz w:val="24"/>
    </w:rPr>
  </w:style>
  <w:style w:type="paragraph" w:styleId="Heading2">
    <w:name w:val="heading 2"/>
    <w:basedOn w:val="Normal"/>
    <w:next w:val="Normal"/>
    <w:link w:val="Heading2Char"/>
    <w:semiHidden/>
    <w:unhideWhenUsed/>
    <w:qFormat/>
    <w:rsid w:val="00D64E8A"/>
    <w:pPr>
      <w:keepNext/>
      <w:outlineLvl w:val="1"/>
    </w:pPr>
    <w:rPr>
      <w:i/>
      <w:sz w:val="24"/>
    </w:rPr>
  </w:style>
  <w:style w:type="paragraph" w:styleId="Heading3">
    <w:name w:val="heading 3"/>
    <w:basedOn w:val="Normal"/>
    <w:next w:val="Normal"/>
    <w:link w:val="Heading3Char"/>
    <w:qFormat/>
    <w:rsid w:val="00F95A27"/>
    <w:pPr>
      <w:keepNext/>
      <w:outlineLvl w:val="2"/>
    </w:pPr>
    <w:rPr>
      <w:sz w:val="24"/>
    </w:rPr>
  </w:style>
  <w:style w:type="paragraph" w:styleId="Heading4">
    <w:name w:val="heading 4"/>
    <w:basedOn w:val="Normal"/>
    <w:next w:val="Normal"/>
    <w:link w:val="Heading4Char"/>
    <w:semiHidden/>
    <w:unhideWhenUsed/>
    <w:qFormat/>
    <w:rsid w:val="00D64E8A"/>
    <w:pPr>
      <w:keepNext/>
      <w:outlineLvl w:val="3"/>
    </w:pPr>
    <w:rPr>
      <w:b/>
      <w:i/>
      <w:sz w:val="24"/>
    </w:rPr>
  </w:style>
  <w:style w:type="paragraph" w:styleId="Heading5">
    <w:name w:val="heading 5"/>
    <w:basedOn w:val="Normal"/>
    <w:next w:val="Normal"/>
    <w:link w:val="Heading5Char"/>
    <w:qFormat/>
    <w:rsid w:val="00F95A27"/>
    <w:pPr>
      <w:keepNext/>
      <w:outlineLvl w:val="4"/>
    </w:pPr>
    <w:rPr>
      <w:b/>
      <w:sz w:val="24"/>
      <w:u w:val="single"/>
    </w:rPr>
  </w:style>
  <w:style w:type="paragraph" w:styleId="Heading6">
    <w:name w:val="heading 6"/>
    <w:basedOn w:val="Normal"/>
    <w:next w:val="Normal"/>
    <w:link w:val="Heading6Char"/>
    <w:semiHidden/>
    <w:unhideWhenUsed/>
    <w:qFormat/>
    <w:rsid w:val="00D64E8A"/>
    <w:pPr>
      <w:keepNext/>
      <w:outlineLvl w:val="5"/>
    </w:pPr>
    <w:rPr>
      <w:b/>
      <w:sz w:val="24"/>
    </w:rPr>
  </w:style>
  <w:style w:type="paragraph" w:styleId="Heading7">
    <w:name w:val="heading 7"/>
    <w:basedOn w:val="Normal"/>
    <w:next w:val="Normal"/>
    <w:link w:val="Heading7Char"/>
    <w:semiHidden/>
    <w:unhideWhenUsed/>
    <w:qFormat/>
    <w:rsid w:val="00D64E8A"/>
    <w:pPr>
      <w:keepNext/>
      <w:numPr>
        <w:ilvl w:val="12"/>
      </w:numPr>
      <w:tabs>
        <w:tab w:val="left" w:pos="-720"/>
        <w:tab w:val="left" w:pos="331"/>
        <w:tab w:val="left" w:pos="511"/>
      </w:tabs>
      <w:suppressAutoHyphens/>
      <w:outlineLvl w:val="6"/>
    </w:pPr>
    <w:rPr>
      <w:rFonts w:ascii="CG Times" w:hAnsi="CG Times"/>
      <w:b/>
      <w:sz w:val="21"/>
    </w:rPr>
  </w:style>
  <w:style w:type="paragraph" w:styleId="Heading8">
    <w:name w:val="heading 8"/>
    <w:basedOn w:val="Normal"/>
    <w:next w:val="Normal"/>
    <w:link w:val="Heading8Char"/>
    <w:semiHidden/>
    <w:unhideWhenUsed/>
    <w:qFormat/>
    <w:rsid w:val="00D64E8A"/>
    <w:pPr>
      <w:keepNext/>
      <w:numPr>
        <w:ilvl w:val="12"/>
      </w:numPr>
      <w:tabs>
        <w:tab w:val="left" w:pos="-720"/>
        <w:tab w:val="left" w:pos="331"/>
        <w:tab w:val="left" w:pos="511"/>
      </w:tabs>
      <w:suppressAutoHyphens/>
      <w:ind w:left="511" w:hanging="511"/>
      <w:outlineLvl w:val="7"/>
    </w:pPr>
    <w:rPr>
      <w:rFonts w:ascii="CG Times" w:hAnsi="CG Times"/>
      <w:b/>
      <w:sz w:val="21"/>
    </w:rPr>
  </w:style>
  <w:style w:type="paragraph" w:styleId="Heading9">
    <w:name w:val="heading 9"/>
    <w:basedOn w:val="Normal"/>
    <w:next w:val="Normal"/>
    <w:link w:val="Heading9Char"/>
    <w:semiHidden/>
    <w:unhideWhenUsed/>
    <w:qFormat/>
    <w:rsid w:val="00D64E8A"/>
    <w:pPr>
      <w:keepNext/>
      <w:ind w:left="720" w:firstLine="3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27"/>
    <w:pPr>
      <w:jc w:val="center"/>
    </w:pPr>
    <w:rPr>
      <w:b/>
      <w:sz w:val="32"/>
    </w:rPr>
  </w:style>
  <w:style w:type="paragraph" w:styleId="BodyText">
    <w:name w:val="Body Text"/>
    <w:basedOn w:val="Normal"/>
    <w:link w:val="BodyTextChar"/>
    <w:rsid w:val="00F95A27"/>
    <w:rPr>
      <w:sz w:val="24"/>
    </w:rPr>
  </w:style>
  <w:style w:type="paragraph" w:styleId="BodyText2">
    <w:name w:val="Body Text 2"/>
    <w:basedOn w:val="Normal"/>
    <w:link w:val="BodyText2Char"/>
    <w:rsid w:val="00F95A27"/>
    <w:rPr>
      <w:i/>
      <w:sz w:val="24"/>
    </w:rPr>
  </w:style>
  <w:style w:type="paragraph" w:styleId="Footer">
    <w:name w:val="footer"/>
    <w:basedOn w:val="Normal"/>
    <w:link w:val="FooterChar"/>
    <w:rsid w:val="00F95A27"/>
    <w:pPr>
      <w:tabs>
        <w:tab w:val="center" w:pos="4320"/>
        <w:tab w:val="right" w:pos="8640"/>
      </w:tabs>
    </w:pPr>
  </w:style>
  <w:style w:type="character" w:styleId="PageNumber">
    <w:name w:val="page number"/>
    <w:basedOn w:val="DefaultParagraphFont"/>
    <w:rsid w:val="00F95A27"/>
  </w:style>
  <w:style w:type="paragraph" w:styleId="BodyTextIndent">
    <w:name w:val="Body Text Indent"/>
    <w:basedOn w:val="Normal"/>
    <w:link w:val="BodyTextIndentChar"/>
    <w:rsid w:val="00F95A27"/>
    <w:pPr>
      <w:ind w:left="720"/>
    </w:pPr>
    <w:rPr>
      <w:sz w:val="24"/>
    </w:rPr>
  </w:style>
  <w:style w:type="paragraph" w:customStyle="1" w:styleId="funddes">
    <w:name w:val="funddes"/>
    <w:basedOn w:val="Normal"/>
    <w:rsid w:val="00F95A27"/>
    <w:pPr>
      <w:ind w:left="360" w:hanging="360"/>
      <w:jc w:val="both"/>
    </w:pPr>
    <w:rPr>
      <w:sz w:val="24"/>
    </w:rPr>
  </w:style>
  <w:style w:type="paragraph" w:styleId="BalloonText">
    <w:name w:val="Balloon Text"/>
    <w:basedOn w:val="Normal"/>
    <w:link w:val="BalloonTextChar"/>
    <w:semiHidden/>
    <w:rsid w:val="00F95A27"/>
    <w:rPr>
      <w:rFonts w:ascii="Tahoma" w:hAnsi="Tahoma" w:cs="Tahoma"/>
      <w:sz w:val="16"/>
      <w:szCs w:val="16"/>
    </w:rPr>
  </w:style>
  <w:style w:type="character" w:customStyle="1" w:styleId="TitleChar">
    <w:name w:val="Title Char"/>
    <w:basedOn w:val="DefaultParagraphFont"/>
    <w:link w:val="Title"/>
    <w:rsid w:val="0042072E"/>
    <w:rPr>
      <w:b/>
      <w:sz w:val="32"/>
    </w:rPr>
  </w:style>
  <w:style w:type="character" w:customStyle="1" w:styleId="Heading1Char">
    <w:name w:val="Heading 1 Char"/>
    <w:basedOn w:val="DefaultParagraphFont"/>
    <w:link w:val="Heading1"/>
    <w:rsid w:val="0042072E"/>
    <w:rPr>
      <w:b/>
      <w:sz w:val="24"/>
    </w:rPr>
  </w:style>
  <w:style w:type="character" w:customStyle="1" w:styleId="Heading3Char">
    <w:name w:val="Heading 3 Char"/>
    <w:basedOn w:val="DefaultParagraphFont"/>
    <w:link w:val="Heading3"/>
    <w:rsid w:val="0042072E"/>
    <w:rPr>
      <w:sz w:val="24"/>
    </w:rPr>
  </w:style>
  <w:style w:type="character" w:customStyle="1" w:styleId="Heading5Char">
    <w:name w:val="Heading 5 Char"/>
    <w:basedOn w:val="DefaultParagraphFont"/>
    <w:link w:val="Heading5"/>
    <w:rsid w:val="0042072E"/>
    <w:rPr>
      <w:b/>
      <w:sz w:val="24"/>
      <w:u w:val="single"/>
    </w:rPr>
  </w:style>
  <w:style w:type="character" w:customStyle="1" w:styleId="BodyTextChar">
    <w:name w:val="Body Text Char"/>
    <w:basedOn w:val="DefaultParagraphFont"/>
    <w:link w:val="BodyText"/>
    <w:rsid w:val="0042072E"/>
    <w:rPr>
      <w:sz w:val="24"/>
    </w:rPr>
  </w:style>
  <w:style w:type="character" w:customStyle="1" w:styleId="BodyTextIndentChar">
    <w:name w:val="Body Text Indent Char"/>
    <w:basedOn w:val="DefaultParagraphFont"/>
    <w:link w:val="BodyTextIndent"/>
    <w:rsid w:val="00D64E8A"/>
    <w:rPr>
      <w:sz w:val="24"/>
    </w:rPr>
  </w:style>
  <w:style w:type="character" w:customStyle="1" w:styleId="Heading2Char">
    <w:name w:val="Heading 2 Char"/>
    <w:basedOn w:val="DefaultParagraphFont"/>
    <w:link w:val="Heading2"/>
    <w:semiHidden/>
    <w:rsid w:val="00D64E8A"/>
    <w:rPr>
      <w:i/>
      <w:sz w:val="24"/>
    </w:rPr>
  </w:style>
  <w:style w:type="character" w:customStyle="1" w:styleId="Heading4Char">
    <w:name w:val="Heading 4 Char"/>
    <w:basedOn w:val="DefaultParagraphFont"/>
    <w:link w:val="Heading4"/>
    <w:semiHidden/>
    <w:rsid w:val="00D64E8A"/>
    <w:rPr>
      <w:b/>
      <w:i/>
      <w:sz w:val="24"/>
    </w:rPr>
  </w:style>
  <w:style w:type="character" w:customStyle="1" w:styleId="Heading6Char">
    <w:name w:val="Heading 6 Char"/>
    <w:basedOn w:val="DefaultParagraphFont"/>
    <w:link w:val="Heading6"/>
    <w:semiHidden/>
    <w:rsid w:val="00D64E8A"/>
    <w:rPr>
      <w:b/>
      <w:sz w:val="24"/>
    </w:rPr>
  </w:style>
  <w:style w:type="character" w:customStyle="1" w:styleId="Heading7Char">
    <w:name w:val="Heading 7 Char"/>
    <w:basedOn w:val="DefaultParagraphFont"/>
    <w:link w:val="Heading7"/>
    <w:semiHidden/>
    <w:rsid w:val="00D64E8A"/>
    <w:rPr>
      <w:rFonts w:ascii="CG Times" w:hAnsi="CG Times"/>
      <w:b/>
      <w:sz w:val="21"/>
    </w:rPr>
  </w:style>
  <w:style w:type="character" w:customStyle="1" w:styleId="Heading8Char">
    <w:name w:val="Heading 8 Char"/>
    <w:basedOn w:val="DefaultParagraphFont"/>
    <w:link w:val="Heading8"/>
    <w:semiHidden/>
    <w:rsid w:val="00D64E8A"/>
    <w:rPr>
      <w:rFonts w:ascii="CG Times" w:hAnsi="CG Times"/>
      <w:b/>
      <w:sz w:val="21"/>
    </w:rPr>
  </w:style>
  <w:style w:type="character" w:customStyle="1" w:styleId="Heading9Char">
    <w:name w:val="Heading 9 Char"/>
    <w:basedOn w:val="DefaultParagraphFont"/>
    <w:link w:val="Heading9"/>
    <w:semiHidden/>
    <w:rsid w:val="00D64E8A"/>
    <w:rPr>
      <w:b/>
      <w:sz w:val="24"/>
    </w:rPr>
  </w:style>
  <w:style w:type="paragraph" w:styleId="Header">
    <w:name w:val="header"/>
    <w:basedOn w:val="Normal"/>
    <w:link w:val="HeaderChar"/>
    <w:unhideWhenUsed/>
    <w:rsid w:val="00D64E8A"/>
    <w:pPr>
      <w:tabs>
        <w:tab w:val="center" w:pos="4320"/>
        <w:tab w:val="right" w:pos="8640"/>
      </w:tabs>
    </w:pPr>
  </w:style>
  <w:style w:type="character" w:customStyle="1" w:styleId="HeaderChar">
    <w:name w:val="Header Char"/>
    <w:basedOn w:val="DefaultParagraphFont"/>
    <w:link w:val="Header"/>
    <w:rsid w:val="00D64E8A"/>
  </w:style>
  <w:style w:type="character" w:customStyle="1" w:styleId="FooterChar">
    <w:name w:val="Footer Char"/>
    <w:basedOn w:val="DefaultParagraphFont"/>
    <w:link w:val="Footer"/>
    <w:rsid w:val="00D64E8A"/>
  </w:style>
  <w:style w:type="paragraph" w:styleId="Subtitle">
    <w:name w:val="Subtitle"/>
    <w:basedOn w:val="Normal"/>
    <w:link w:val="SubtitleChar"/>
    <w:qFormat/>
    <w:rsid w:val="00D64E8A"/>
    <w:rPr>
      <w:sz w:val="24"/>
    </w:rPr>
  </w:style>
  <w:style w:type="character" w:customStyle="1" w:styleId="SubtitleChar">
    <w:name w:val="Subtitle Char"/>
    <w:basedOn w:val="DefaultParagraphFont"/>
    <w:link w:val="Subtitle"/>
    <w:rsid w:val="00D64E8A"/>
    <w:rPr>
      <w:sz w:val="24"/>
    </w:rPr>
  </w:style>
  <w:style w:type="character" w:customStyle="1" w:styleId="BodyText2Char">
    <w:name w:val="Body Text 2 Char"/>
    <w:basedOn w:val="DefaultParagraphFont"/>
    <w:link w:val="BodyText2"/>
    <w:rsid w:val="00D64E8A"/>
    <w:rPr>
      <w:i/>
      <w:sz w:val="24"/>
    </w:rPr>
  </w:style>
  <w:style w:type="paragraph" w:styleId="BodyText3">
    <w:name w:val="Body Text 3"/>
    <w:basedOn w:val="Normal"/>
    <w:link w:val="BodyText3Char"/>
    <w:unhideWhenUsed/>
    <w:rsid w:val="00D64E8A"/>
    <w:pPr>
      <w:numPr>
        <w:ilvl w:val="12"/>
      </w:numPr>
    </w:pPr>
    <w:rPr>
      <w:b/>
      <w:i/>
      <w:sz w:val="24"/>
    </w:rPr>
  </w:style>
  <w:style w:type="character" w:customStyle="1" w:styleId="BodyText3Char">
    <w:name w:val="Body Text 3 Char"/>
    <w:basedOn w:val="DefaultParagraphFont"/>
    <w:link w:val="BodyText3"/>
    <w:rsid w:val="00D64E8A"/>
    <w:rPr>
      <w:b/>
      <w:i/>
      <w:sz w:val="24"/>
    </w:rPr>
  </w:style>
  <w:style w:type="paragraph" w:styleId="BodyTextIndent2">
    <w:name w:val="Body Text Indent 2"/>
    <w:basedOn w:val="Normal"/>
    <w:link w:val="BodyTextIndent2Char"/>
    <w:unhideWhenUsed/>
    <w:rsid w:val="00D64E8A"/>
    <w:pPr>
      <w:ind w:left="720" w:firstLine="720"/>
    </w:pPr>
    <w:rPr>
      <w:sz w:val="24"/>
    </w:rPr>
  </w:style>
  <w:style w:type="character" w:customStyle="1" w:styleId="BodyTextIndent2Char">
    <w:name w:val="Body Text Indent 2 Char"/>
    <w:basedOn w:val="DefaultParagraphFont"/>
    <w:link w:val="BodyTextIndent2"/>
    <w:rsid w:val="00D64E8A"/>
    <w:rPr>
      <w:sz w:val="24"/>
    </w:rPr>
  </w:style>
  <w:style w:type="paragraph" w:styleId="BodyTextIndent3">
    <w:name w:val="Body Text Indent 3"/>
    <w:basedOn w:val="Normal"/>
    <w:link w:val="BodyTextIndent3Char"/>
    <w:unhideWhenUsed/>
    <w:rsid w:val="00D64E8A"/>
    <w:pPr>
      <w:ind w:left="1440" w:firstLine="720"/>
    </w:pPr>
    <w:rPr>
      <w:sz w:val="24"/>
    </w:rPr>
  </w:style>
  <w:style w:type="character" w:customStyle="1" w:styleId="BodyTextIndent3Char">
    <w:name w:val="Body Text Indent 3 Char"/>
    <w:basedOn w:val="DefaultParagraphFont"/>
    <w:link w:val="BodyTextIndent3"/>
    <w:rsid w:val="00D64E8A"/>
    <w:rPr>
      <w:sz w:val="24"/>
    </w:rPr>
  </w:style>
  <w:style w:type="paragraph" w:styleId="BlockText">
    <w:name w:val="Block Text"/>
    <w:basedOn w:val="Normal"/>
    <w:unhideWhenUsed/>
    <w:rsid w:val="00D64E8A"/>
    <w:pPr>
      <w:numPr>
        <w:ilvl w:val="12"/>
      </w:numPr>
      <w:tabs>
        <w:tab w:val="left" w:pos="349"/>
        <w:tab w:val="left" w:pos="529"/>
        <w:tab w:val="left" w:pos="1080"/>
      </w:tabs>
      <w:suppressAutoHyphens/>
      <w:ind w:left="510" w:right="1358" w:hanging="510"/>
    </w:pPr>
    <w:rPr>
      <w:rFonts w:ascii="CG Times" w:hAnsi="CG Times"/>
      <w:sz w:val="21"/>
    </w:rPr>
  </w:style>
  <w:style w:type="paragraph" w:styleId="DocumentMap">
    <w:name w:val="Document Map"/>
    <w:basedOn w:val="Normal"/>
    <w:link w:val="DocumentMapChar"/>
    <w:unhideWhenUsed/>
    <w:rsid w:val="00D64E8A"/>
    <w:pPr>
      <w:shd w:val="clear" w:color="auto" w:fill="000080"/>
    </w:pPr>
    <w:rPr>
      <w:rFonts w:ascii="Tahoma" w:hAnsi="Tahoma"/>
    </w:rPr>
  </w:style>
  <w:style w:type="character" w:customStyle="1" w:styleId="DocumentMapChar">
    <w:name w:val="Document Map Char"/>
    <w:basedOn w:val="DefaultParagraphFont"/>
    <w:link w:val="DocumentMap"/>
    <w:rsid w:val="00D64E8A"/>
    <w:rPr>
      <w:rFonts w:ascii="Tahoma" w:hAnsi="Tahoma"/>
      <w:shd w:val="clear" w:color="auto" w:fill="000080"/>
    </w:rPr>
  </w:style>
  <w:style w:type="character" w:customStyle="1" w:styleId="BalloonTextChar">
    <w:name w:val="Balloon Text Char"/>
    <w:basedOn w:val="DefaultParagraphFont"/>
    <w:link w:val="BalloonText"/>
    <w:semiHidden/>
    <w:rsid w:val="00D64E8A"/>
    <w:rPr>
      <w:rFonts w:ascii="Tahoma" w:hAnsi="Tahoma" w:cs="Tahoma"/>
      <w:sz w:val="16"/>
      <w:szCs w:val="16"/>
    </w:rPr>
  </w:style>
  <w:style w:type="paragraph" w:customStyle="1" w:styleId="feetext">
    <w:name w:val="feetext"/>
    <w:basedOn w:val="Normal"/>
    <w:rsid w:val="00D64E8A"/>
    <w:pPr>
      <w:jc w:val="both"/>
    </w:pPr>
    <w:rPr>
      <w:i/>
    </w:rPr>
  </w:style>
  <w:style w:type="paragraph" w:customStyle="1" w:styleId="NormalDS">
    <w:name w:val="Normal DS"/>
    <w:basedOn w:val="Normal"/>
    <w:rsid w:val="00D64E8A"/>
    <w:pPr>
      <w:spacing w:after="260"/>
    </w:pPr>
    <w:rPr>
      <w:rFonts w:ascii="Times" w:hAnsi="Times"/>
      <w:sz w:val="23"/>
    </w:rPr>
  </w:style>
  <w:style w:type="paragraph" w:styleId="ListParagraph">
    <w:name w:val="List Paragraph"/>
    <w:basedOn w:val="Normal"/>
    <w:uiPriority w:val="34"/>
    <w:qFormat/>
    <w:rsid w:val="000150BF"/>
    <w:pPr>
      <w:ind w:left="720"/>
      <w:contextualSpacing/>
    </w:pPr>
  </w:style>
  <w:style w:type="table" w:styleId="TableGrid">
    <w:name w:val="Table Grid"/>
    <w:basedOn w:val="TableNormal"/>
    <w:rsid w:val="00AB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D44C4"/>
    <w:rPr>
      <w:sz w:val="16"/>
      <w:szCs w:val="16"/>
    </w:rPr>
  </w:style>
  <w:style w:type="paragraph" w:styleId="CommentText">
    <w:name w:val="annotation text"/>
    <w:basedOn w:val="Normal"/>
    <w:link w:val="CommentTextChar"/>
    <w:rsid w:val="004D44C4"/>
  </w:style>
  <w:style w:type="character" w:customStyle="1" w:styleId="CommentTextChar">
    <w:name w:val="Comment Text Char"/>
    <w:basedOn w:val="DefaultParagraphFont"/>
    <w:link w:val="CommentText"/>
    <w:rsid w:val="004D44C4"/>
  </w:style>
  <w:style w:type="paragraph" w:styleId="CommentSubject">
    <w:name w:val="annotation subject"/>
    <w:basedOn w:val="CommentText"/>
    <w:next w:val="CommentText"/>
    <w:link w:val="CommentSubjectChar"/>
    <w:rsid w:val="004D44C4"/>
    <w:rPr>
      <w:b/>
      <w:bCs/>
    </w:rPr>
  </w:style>
  <w:style w:type="character" w:customStyle="1" w:styleId="CommentSubjectChar">
    <w:name w:val="Comment Subject Char"/>
    <w:basedOn w:val="CommentTextChar"/>
    <w:link w:val="CommentSubject"/>
    <w:rsid w:val="004D44C4"/>
    <w:rPr>
      <w:b/>
      <w:bCs/>
    </w:rPr>
  </w:style>
  <w:style w:type="paragraph" w:styleId="Revision">
    <w:name w:val="Revision"/>
    <w:hidden/>
    <w:uiPriority w:val="99"/>
    <w:semiHidden/>
    <w:rsid w:val="00DB7FD8"/>
  </w:style>
  <w:style w:type="character" w:styleId="Emphasis">
    <w:name w:val="Emphasis"/>
    <w:basedOn w:val="DefaultParagraphFont"/>
    <w:qFormat/>
    <w:rsid w:val="00A53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4855">
      <w:bodyDiv w:val="1"/>
      <w:marLeft w:val="0"/>
      <w:marRight w:val="0"/>
      <w:marTop w:val="0"/>
      <w:marBottom w:val="0"/>
      <w:divBdr>
        <w:top w:val="none" w:sz="0" w:space="0" w:color="auto"/>
        <w:left w:val="none" w:sz="0" w:space="0" w:color="auto"/>
        <w:bottom w:val="none" w:sz="0" w:space="0" w:color="auto"/>
        <w:right w:val="none" w:sz="0" w:space="0" w:color="auto"/>
      </w:divBdr>
    </w:div>
    <w:div w:id="132793016">
      <w:bodyDiv w:val="1"/>
      <w:marLeft w:val="0"/>
      <w:marRight w:val="0"/>
      <w:marTop w:val="0"/>
      <w:marBottom w:val="0"/>
      <w:divBdr>
        <w:top w:val="none" w:sz="0" w:space="0" w:color="auto"/>
        <w:left w:val="none" w:sz="0" w:space="0" w:color="auto"/>
        <w:bottom w:val="none" w:sz="0" w:space="0" w:color="auto"/>
        <w:right w:val="none" w:sz="0" w:space="0" w:color="auto"/>
      </w:divBdr>
    </w:div>
    <w:div w:id="143743715">
      <w:bodyDiv w:val="1"/>
      <w:marLeft w:val="0"/>
      <w:marRight w:val="0"/>
      <w:marTop w:val="0"/>
      <w:marBottom w:val="0"/>
      <w:divBdr>
        <w:top w:val="none" w:sz="0" w:space="0" w:color="auto"/>
        <w:left w:val="none" w:sz="0" w:space="0" w:color="auto"/>
        <w:bottom w:val="none" w:sz="0" w:space="0" w:color="auto"/>
        <w:right w:val="none" w:sz="0" w:space="0" w:color="auto"/>
      </w:divBdr>
    </w:div>
    <w:div w:id="243611947">
      <w:bodyDiv w:val="1"/>
      <w:marLeft w:val="0"/>
      <w:marRight w:val="0"/>
      <w:marTop w:val="0"/>
      <w:marBottom w:val="0"/>
      <w:divBdr>
        <w:top w:val="none" w:sz="0" w:space="0" w:color="auto"/>
        <w:left w:val="none" w:sz="0" w:space="0" w:color="auto"/>
        <w:bottom w:val="none" w:sz="0" w:space="0" w:color="auto"/>
        <w:right w:val="none" w:sz="0" w:space="0" w:color="auto"/>
      </w:divBdr>
    </w:div>
    <w:div w:id="262032524">
      <w:bodyDiv w:val="1"/>
      <w:marLeft w:val="0"/>
      <w:marRight w:val="0"/>
      <w:marTop w:val="0"/>
      <w:marBottom w:val="0"/>
      <w:divBdr>
        <w:top w:val="none" w:sz="0" w:space="0" w:color="auto"/>
        <w:left w:val="none" w:sz="0" w:space="0" w:color="auto"/>
        <w:bottom w:val="none" w:sz="0" w:space="0" w:color="auto"/>
        <w:right w:val="none" w:sz="0" w:space="0" w:color="auto"/>
      </w:divBdr>
    </w:div>
    <w:div w:id="382557966">
      <w:bodyDiv w:val="1"/>
      <w:marLeft w:val="0"/>
      <w:marRight w:val="0"/>
      <w:marTop w:val="0"/>
      <w:marBottom w:val="0"/>
      <w:divBdr>
        <w:top w:val="none" w:sz="0" w:space="0" w:color="auto"/>
        <w:left w:val="none" w:sz="0" w:space="0" w:color="auto"/>
        <w:bottom w:val="none" w:sz="0" w:space="0" w:color="auto"/>
        <w:right w:val="none" w:sz="0" w:space="0" w:color="auto"/>
      </w:divBdr>
    </w:div>
    <w:div w:id="399518052">
      <w:bodyDiv w:val="1"/>
      <w:marLeft w:val="0"/>
      <w:marRight w:val="0"/>
      <w:marTop w:val="0"/>
      <w:marBottom w:val="0"/>
      <w:divBdr>
        <w:top w:val="none" w:sz="0" w:space="0" w:color="auto"/>
        <w:left w:val="none" w:sz="0" w:space="0" w:color="auto"/>
        <w:bottom w:val="none" w:sz="0" w:space="0" w:color="auto"/>
        <w:right w:val="none" w:sz="0" w:space="0" w:color="auto"/>
      </w:divBdr>
    </w:div>
    <w:div w:id="399519073">
      <w:bodyDiv w:val="1"/>
      <w:marLeft w:val="0"/>
      <w:marRight w:val="0"/>
      <w:marTop w:val="0"/>
      <w:marBottom w:val="0"/>
      <w:divBdr>
        <w:top w:val="none" w:sz="0" w:space="0" w:color="auto"/>
        <w:left w:val="none" w:sz="0" w:space="0" w:color="auto"/>
        <w:bottom w:val="none" w:sz="0" w:space="0" w:color="auto"/>
        <w:right w:val="none" w:sz="0" w:space="0" w:color="auto"/>
      </w:divBdr>
    </w:div>
    <w:div w:id="404495606">
      <w:bodyDiv w:val="1"/>
      <w:marLeft w:val="0"/>
      <w:marRight w:val="0"/>
      <w:marTop w:val="0"/>
      <w:marBottom w:val="0"/>
      <w:divBdr>
        <w:top w:val="none" w:sz="0" w:space="0" w:color="auto"/>
        <w:left w:val="none" w:sz="0" w:space="0" w:color="auto"/>
        <w:bottom w:val="none" w:sz="0" w:space="0" w:color="auto"/>
        <w:right w:val="none" w:sz="0" w:space="0" w:color="auto"/>
      </w:divBdr>
    </w:div>
    <w:div w:id="440150481">
      <w:bodyDiv w:val="1"/>
      <w:marLeft w:val="0"/>
      <w:marRight w:val="0"/>
      <w:marTop w:val="0"/>
      <w:marBottom w:val="0"/>
      <w:divBdr>
        <w:top w:val="none" w:sz="0" w:space="0" w:color="auto"/>
        <w:left w:val="none" w:sz="0" w:space="0" w:color="auto"/>
        <w:bottom w:val="none" w:sz="0" w:space="0" w:color="auto"/>
        <w:right w:val="none" w:sz="0" w:space="0" w:color="auto"/>
      </w:divBdr>
    </w:div>
    <w:div w:id="476536570">
      <w:bodyDiv w:val="1"/>
      <w:marLeft w:val="0"/>
      <w:marRight w:val="0"/>
      <w:marTop w:val="0"/>
      <w:marBottom w:val="0"/>
      <w:divBdr>
        <w:top w:val="none" w:sz="0" w:space="0" w:color="auto"/>
        <w:left w:val="none" w:sz="0" w:space="0" w:color="auto"/>
        <w:bottom w:val="none" w:sz="0" w:space="0" w:color="auto"/>
        <w:right w:val="none" w:sz="0" w:space="0" w:color="auto"/>
      </w:divBdr>
    </w:div>
    <w:div w:id="507914371">
      <w:bodyDiv w:val="1"/>
      <w:marLeft w:val="0"/>
      <w:marRight w:val="0"/>
      <w:marTop w:val="0"/>
      <w:marBottom w:val="0"/>
      <w:divBdr>
        <w:top w:val="none" w:sz="0" w:space="0" w:color="auto"/>
        <w:left w:val="none" w:sz="0" w:space="0" w:color="auto"/>
        <w:bottom w:val="none" w:sz="0" w:space="0" w:color="auto"/>
        <w:right w:val="none" w:sz="0" w:space="0" w:color="auto"/>
      </w:divBdr>
    </w:div>
    <w:div w:id="634795900">
      <w:bodyDiv w:val="1"/>
      <w:marLeft w:val="0"/>
      <w:marRight w:val="0"/>
      <w:marTop w:val="0"/>
      <w:marBottom w:val="0"/>
      <w:divBdr>
        <w:top w:val="none" w:sz="0" w:space="0" w:color="auto"/>
        <w:left w:val="none" w:sz="0" w:space="0" w:color="auto"/>
        <w:bottom w:val="none" w:sz="0" w:space="0" w:color="auto"/>
        <w:right w:val="none" w:sz="0" w:space="0" w:color="auto"/>
      </w:divBdr>
    </w:div>
    <w:div w:id="688915241">
      <w:bodyDiv w:val="1"/>
      <w:marLeft w:val="0"/>
      <w:marRight w:val="0"/>
      <w:marTop w:val="0"/>
      <w:marBottom w:val="0"/>
      <w:divBdr>
        <w:top w:val="none" w:sz="0" w:space="0" w:color="auto"/>
        <w:left w:val="none" w:sz="0" w:space="0" w:color="auto"/>
        <w:bottom w:val="none" w:sz="0" w:space="0" w:color="auto"/>
        <w:right w:val="none" w:sz="0" w:space="0" w:color="auto"/>
      </w:divBdr>
    </w:div>
    <w:div w:id="855773627">
      <w:bodyDiv w:val="1"/>
      <w:marLeft w:val="0"/>
      <w:marRight w:val="0"/>
      <w:marTop w:val="0"/>
      <w:marBottom w:val="0"/>
      <w:divBdr>
        <w:top w:val="none" w:sz="0" w:space="0" w:color="auto"/>
        <w:left w:val="none" w:sz="0" w:space="0" w:color="auto"/>
        <w:bottom w:val="none" w:sz="0" w:space="0" w:color="auto"/>
        <w:right w:val="none" w:sz="0" w:space="0" w:color="auto"/>
      </w:divBdr>
    </w:div>
    <w:div w:id="943029778">
      <w:bodyDiv w:val="1"/>
      <w:marLeft w:val="0"/>
      <w:marRight w:val="0"/>
      <w:marTop w:val="0"/>
      <w:marBottom w:val="0"/>
      <w:divBdr>
        <w:top w:val="none" w:sz="0" w:space="0" w:color="auto"/>
        <w:left w:val="none" w:sz="0" w:space="0" w:color="auto"/>
        <w:bottom w:val="none" w:sz="0" w:space="0" w:color="auto"/>
        <w:right w:val="none" w:sz="0" w:space="0" w:color="auto"/>
      </w:divBdr>
    </w:div>
    <w:div w:id="1000354684">
      <w:bodyDiv w:val="1"/>
      <w:marLeft w:val="0"/>
      <w:marRight w:val="0"/>
      <w:marTop w:val="0"/>
      <w:marBottom w:val="0"/>
      <w:divBdr>
        <w:top w:val="none" w:sz="0" w:space="0" w:color="auto"/>
        <w:left w:val="none" w:sz="0" w:space="0" w:color="auto"/>
        <w:bottom w:val="none" w:sz="0" w:space="0" w:color="auto"/>
        <w:right w:val="none" w:sz="0" w:space="0" w:color="auto"/>
      </w:divBdr>
    </w:div>
    <w:div w:id="1038701214">
      <w:bodyDiv w:val="1"/>
      <w:marLeft w:val="0"/>
      <w:marRight w:val="0"/>
      <w:marTop w:val="0"/>
      <w:marBottom w:val="0"/>
      <w:divBdr>
        <w:top w:val="none" w:sz="0" w:space="0" w:color="auto"/>
        <w:left w:val="none" w:sz="0" w:space="0" w:color="auto"/>
        <w:bottom w:val="none" w:sz="0" w:space="0" w:color="auto"/>
        <w:right w:val="none" w:sz="0" w:space="0" w:color="auto"/>
      </w:divBdr>
    </w:div>
    <w:div w:id="1112286552">
      <w:bodyDiv w:val="1"/>
      <w:marLeft w:val="0"/>
      <w:marRight w:val="0"/>
      <w:marTop w:val="0"/>
      <w:marBottom w:val="0"/>
      <w:divBdr>
        <w:top w:val="none" w:sz="0" w:space="0" w:color="auto"/>
        <w:left w:val="none" w:sz="0" w:space="0" w:color="auto"/>
        <w:bottom w:val="none" w:sz="0" w:space="0" w:color="auto"/>
        <w:right w:val="none" w:sz="0" w:space="0" w:color="auto"/>
      </w:divBdr>
    </w:div>
    <w:div w:id="1216283587">
      <w:bodyDiv w:val="1"/>
      <w:marLeft w:val="0"/>
      <w:marRight w:val="0"/>
      <w:marTop w:val="0"/>
      <w:marBottom w:val="0"/>
      <w:divBdr>
        <w:top w:val="none" w:sz="0" w:space="0" w:color="auto"/>
        <w:left w:val="none" w:sz="0" w:space="0" w:color="auto"/>
        <w:bottom w:val="none" w:sz="0" w:space="0" w:color="auto"/>
        <w:right w:val="none" w:sz="0" w:space="0" w:color="auto"/>
      </w:divBdr>
    </w:div>
    <w:div w:id="1243294714">
      <w:bodyDiv w:val="1"/>
      <w:marLeft w:val="0"/>
      <w:marRight w:val="0"/>
      <w:marTop w:val="0"/>
      <w:marBottom w:val="0"/>
      <w:divBdr>
        <w:top w:val="none" w:sz="0" w:space="0" w:color="auto"/>
        <w:left w:val="none" w:sz="0" w:space="0" w:color="auto"/>
        <w:bottom w:val="none" w:sz="0" w:space="0" w:color="auto"/>
        <w:right w:val="none" w:sz="0" w:space="0" w:color="auto"/>
      </w:divBdr>
    </w:div>
    <w:div w:id="1314529503">
      <w:bodyDiv w:val="1"/>
      <w:marLeft w:val="0"/>
      <w:marRight w:val="0"/>
      <w:marTop w:val="0"/>
      <w:marBottom w:val="0"/>
      <w:divBdr>
        <w:top w:val="none" w:sz="0" w:space="0" w:color="auto"/>
        <w:left w:val="none" w:sz="0" w:space="0" w:color="auto"/>
        <w:bottom w:val="none" w:sz="0" w:space="0" w:color="auto"/>
        <w:right w:val="none" w:sz="0" w:space="0" w:color="auto"/>
      </w:divBdr>
    </w:div>
    <w:div w:id="1456557276">
      <w:bodyDiv w:val="1"/>
      <w:marLeft w:val="0"/>
      <w:marRight w:val="0"/>
      <w:marTop w:val="0"/>
      <w:marBottom w:val="0"/>
      <w:divBdr>
        <w:top w:val="none" w:sz="0" w:space="0" w:color="auto"/>
        <w:left w:val="none" w:sz="0" w:space="0" w:color="auto"/>
        <w:bottom w:val="none" w:sz="0" w:space="0" w:color="auto"/>
        <w:right w:val="none" w:sz="0" w:space="0" w:color="auto"/>
      </w:divBdr>
    </w:div>
    <w:div w:id="1549416531">
      <w:bodyDiv w:val="1"/>
      <w:marLeft w:val="0"/>
      <w:marRight w:val="0"/>
      <w:marTop w:val="0"/>
      <w:marBottom w:val="0"/>
      <w:divBdr>
        <w:top w:val="none" w:sz="0" w:space="0" w:color="auto"/>
        <w:left w:val="none" w:sz="0" w:space="0" w:color="auto"/>
        <w:bottom w:val="none" w:sz="0" w:space="0" w:color="auto"/>
        <w:right w:val="none" w:sz="0" w:space="0" w:color="auto"/>
      </w:divBdr>
    </w:div>
    <w:div w:id="1580017783">
      <w:bodyDiv w:val="1"/>
      <w:marLeft w:val="0"/>
      <w:marRight w:val="0"/>
      <w:marTop w:val="0"/>
      <w:marBottom w:val="0"/>
      <w:divBdr>
        <w:top w:val="none" w:sz="0" w:space="0" w:color="auto"/>
        <w:left w:val="none" w:sz="0" w:space="0" w:color="auto"/>
        <w:bottom w:val="none" w:sz="0" w:space="0" w:color="auto"/>
        <w:right w:val="none" w:sz="0" w:space="0" w:color="auto"/>
      </w:divBdr>
    </w:div>
    <w:div w:id="1776123548">
      <w:bodyDiv w:val="1"/>
      <w:marLeft w:val="0"/>
      <w:marRight w:val="0"/>
      <w:marTop w:val="0"/>
      <w:marBottom w:val="0"/>
      <w:divBdr>
        <w:top w:val="none" w:sz="0" w:space="0" w:color="auto"/>
        <w:left w:val="none" w:sz="0" w:space="0" w:color="auto"/>
        <w:bottom w:val="none" w:sz="0" w:space="0" w:color="auto"/>
        <w:right w:val="none" w:sz="0" w:space="0" w:color="auto"/>
      </w:divBdr>
    </w:div>
    <w:div w:id="1791438565">
      <w:bodyDiv w:val="1"/>
      <w:marLeft w:val="0"/>
      <w:marRight w:val="0"/>
      <w:marTop w:val="0"/>
      <w:marBottom w:val="0"/>
      <w:divBdr>
        <w:top w:val="none" w:sz="0" w:space="0" w:color="auto"/>
        <w:left w:val="none" w:sz="0" w:space="0" w:color="auto"/>
        <w:bottom w:val="none" w:sz="0" w:space="0" w:color="auto"/>
        <w:right w:val="none" w:sz="0" w:space="0" w:color="auto"/>
      </w:divBdr>
    </w:div>
    <w:div w:id="1854225075">
      <w:bodyDiv w:val="1"/>
      <w:marLeft w:val="0"/>
      <w:marRight w:val="0"/>
      <w:marTop w:val="0"/>
      <w:marBottom w:val="0"/>
      <w:divBdr>
        <w:top w:val="none" w:sz="0" w:space="0" w:color="auto"/>
        <w:left w:val="none" w:sz="0" w:space="0" w:color="auto"/>
        <w:bottom w:val="none" w:sz="0" w:space="0" w:color="auto"/>
        <w:right w:val="none" w:sz="0" w:space="0" w:color="auto"/>
      </w:divBdr>
    </w:div>
    <w:div w:id="1879200838">
      <w:bodyDiv w:val="1"/>
      <w:marLeft w:val="0"/>
      <w:marRight w:val="0"/>
      <w:marTop w:val="0"/>
      <w:marBottom w:val="0"/>
      <w:divBdr>
        <w:top w:val="none" w:sz="0" w:space="0" w:color="auto"/>
        <w:left w:val="none" w:sz="0" w:space="0" w:color="auto"/>
        <w:bottom w:val="none" w:sz="0" w:space="0" w:color="auto"/>
        <w:right w:val="none" w:sz="0" w:space="0" w:color="auto"/>
      </w:divBdr>
    </w:div>
    <w:div w:id="1954247236">
      <w:bodyDiv w:val="1"/>
      <w:marLeft w:val="0"/>
      <w:marRight w:val="0"/>
      <w:marTop w:val="0"/>
      <w:marBottom w:val="0"/>
      <w:divBdr>
        <w:top w:val="none" w:sz="0" w:space="0" w:color="auto"/>
        <w:left w:val="none" w:sz="0" w:space="0" w:color="auto"/>
        <w:bottom w:val="none" w:sz="0" w:space="0" w:color="auto"/>
        <w:right w:val="none" w:sz="0" w:space="0" w:color="auto"/>
      </w:divBdr>
    </w:div>
    <w:div w:id="1970355749">
      <w:bodyDiv w:val="1"/>
      <w:marLeft w:val="0"/>
      <w:marRight w:val="0"/>
      <w:marTop w:val="0"/>
      <w:marBottom w:val="0"/>
      <w:divBdr>
        <w:top w:val="none" w:sz="0" w:space="0" w:color="auto"/>
        <w:left w:val="none" w:sz="0" w:space="0" w:color="auto"/>
        <w:bottom w:val="none" w:sz="0" w:space="0" w:color="auto"/>
        <w:right w:val="none" w:sz="0" w:space="0" w:color="auto"/>
      </w:divBdr>
    </w:div>
    <w:div w:id="19923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4CA3-7647-4212-A8B8-5D25F1B6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2322</Words>
  <Characters>13540</Characters>
  <Application>Microsoft Office Word</Application>
  <DocSecurity>2</DocSecurity>
  <Lines>423</Lines>
  <Paragraphs>247</Paragraphs>
  <ScaleCrop>false</ScaleCrop>
  <HeadingPairs>
    <vt:vector size="2" baseType="variant">
      <vt:variant>
        <vt:lpstr>Title</vt:lpstr>
      </vt:variant>
      <vt:variant>
        <vt:i4>1</vt:i4>
      </vt:variant>
    </vt:vector>
  </HeadingPairs>
  <TitlesOfParts>
    <vt:vector size="1" baseType="lpstr">
      <vt:lpstr>Investment Policy Statement</vt:lpstr>
    </vt:vector>
  </TitlesOfParts>
  <Company>The Vanguard Group</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 Statement</dc:title>
  <dc:creator>ueps</dc:creator>
  <cp:lastModifiedBy>Kartika Thornbrew</cp:lastModifiedBy>
  <cp:revision>3</cp:revision>
  <cp:lastPrinted>2010-02-11T20:54:00Z</cp:lastPrinted>
  <dcterms:created xsi:type="dcterms:W3CDTF">2015-11-24T18:45:00Z</dcterms:created>
  <dcterms:modified xsi:type="dcterms:W3CDTF">2015-11-24T18:45:00Z</dcterms:modified>
</cp:coreProperties>
</file>